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E66C74">
      <w:pPr>
        <w:rPr>
          <w:b/>
        </w:rPr>
      </w:pPr>
      <w:r>
        <w:rPr>
          <w:b/>
        </w:rPr>
        <w:t>Pension Fund Committee</w:t>
      </w:r>
    </w:p>
    <w:p w:rsidR="003E6A45" w:rsidRDefault="003E6A45">
      <w:r>
        <w:t xml:space="preserve">Meeting to be held on </w:t>
      </w:r>
      <w:r w:rsidR="0042193C">
        <w:t>5</w:t>
      </w:r>
      <w:r w:rsidR="00E66C74">
        <w:t xml:space="preserve"> </w:t>
      </w:r>
      <w:r w:rsidR="0042193C">
        <w:t>June</w:t>
      </w:r>
      <w:r w:rsidR="00E66C74">
        <w:t xml:space="preserve"> 2015</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E66C74">
            <w:pPr>
              <w:rPr>
                <w:u w:val="single"/>
              </w:rPr>
            </w:pPr>
            <w:r>
              <w:t>None</w:t>
            </w:r>
          </w:p>
        </w:tc>
      </w:tr>
    </w:tbl>
    <w:p w:rsidR="003E6A45" w:rsidRDefault="003E6A45">
      <w:pPr>
        <w:rPr>
          <w:u w:val="single"/>
        </w:rPr>
      </w:pPr>
    </w:p>
    <w:p w:rsidR="003E6A45" w:rsidRDefault="00E66C74">
      <w:pPr>
        <w:rPr>
          <w:b/>
        </w:rPr>
      </w:pPr>
      <w:r>
        <w:rPr>
          <w:b/>
        </w:rPr>
        <w:t xml:space="preserve">Responsible Investment </w:t>
      </w:r>
    </w:p>
    <w:p w:rsidR="003E6A45" w:rsidRDefault="00DB1028">
      <w:pPr>
        <w:ind w:left="709" w:hanging="709"/>
      </w:pPr>
      <w:r>
        <w:t>(</w:t>
      </w:r>
      <w:r w:rsidR="0085737C" w:rsidRPr="003A50E0">
        <w:t>Appendices 'A'</w:t>
      </w:r>
      <w:r>
        <w:t>,</w:t>
      </w:r>
      <w:r w:rsidR="0085737C" w:rsidRPr="003A50E0">
        <w:t xml:space="preserve"> </w:t>
      </w:r>
      <w:r w:rsidR="00BB0369" w:rsidRPr="003A50E0">
        <w:t>'B</w:t>
      </w:r>
      <w:r w:rsidR="00F60B4A" w:rsidRPr="003A50E0">
        <w:t>'</w:t>
      </w:r>
      <w:r>
        <w:t>,</w:t>
      </w:r>
      <w:r w:rsidR="0085737C" w:rsidRPr="003A50E0">
        <w:t xml:space="preserve"> 'C'</w:t>
      </w:r>
      <w:r w:rsidR="00F60B4A" w:rsidRPr="003A50E0">
        <w:t xml:space="preserve"> </w:t>
      </w:r>
      <w:r w:rsidR="0085737C" w:rsidRPr="003A50E0">
        <w:t xml:space="preserve">and 'D' </w:t>
      </w:r>
      <w:r w:rsidR="00F60B4A" w:rsidRPr="003A50E0">
        <w:t>refer</w:t>
      </w:r>
      <w:r>
        <w:t>)</w:t>
      </w:r>
    </w:p>
    <w:p w:rsidR="003E6A45" w:rsidRDefault="003E6A45">
      <w:pPr>
        <w:ind w:left="709" w:hanging="709"/>
        <w:rPr>
          <w:b/>
        </w:rPr>
      </w:pPr>
    </w:p>
    <w:p w:rsidR="003E6A45" w:rsidRDefault="003E6A45">
      <w:r>
        <w:t>Contact for further information:</w:t>
      </w:r>
    </w:p>
    <w:p w:rsidR="003E6A45" w:rsidRDefault="00E66C74">
      <w:r>
        <w:t>Andrew Fox</w:t>
      </w:r>
      <w:r w:rsidR="003E6A45">
        <w:t xml:space="preserve">, </w:t>
      </w:r>
      <w:r>
        <w:t>(01772) 535916</w:t>
      </w:r>
      <w:r w:rsidR="003E6A45">
        <w:t xml:space="preserve">, </w:t>
      </w:r>
      <w:r w:rsidR="005E2526">
        <w:t>Lancashire County Pension Fund</w:t>
      </w:r>
    </w:p>
    <w:p w:rsidR="00772BBA" w:rsidRDefault="00200CF9">
      <w:hyperlink r:id="rId7" w:history="1">
        <w:r w:rsidR="00DB1028" w:rsidRPr="00852DAF">
          <w:rPr>
            <w:rStyle w:val="Hyperlink"/>
          </w:rPr>
          <w:t>andrew.fox@lancashire.gov.uk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rsidP="00F514A8">
            <w:pPr>
              <w:pStyle w:val="Heading6"/>
              <w:spacing w:before="120"/>
              <w:rPr>
                <w:rFonts w:ascii="Arial" w:hAnsi="Arial"/>
              </w:rPr>
            </w:pPr>
            <w:r>
              <w:rPr>
                <w:rFonts w:ascii="Arial" w:hAnsi="Arial"/>
              </w:rPr>
              <w:t>Executive Summary</w:t>
            </w:r>
          </w:p>
          <w:p w:rsidR="003E6A45" w:rsidRDefault="003E6A45"/>
          <w:p w:rsidR="007676C9" w:rsidRPr="009E5798" w:rsidRDefault="00087174">
            <w:pPr>
              <w:rPr>
                <w:color w:val="000000" w:themeColor="text1"/>
              </w:rPr>
            </w:pPr>
            <w:r w:rsidRPr="009E5798">
              <w:rPr>
                <w:color w:val="000000" w:themeColor="text1"/>
              </w:rPr>
              <w:t xml:space="preserve">This report provides the Pension Fund Committee with </w:t>
            </w:r>
            <w:r w:rsidR="0061698C">
              <w:rPr>
                <w:color w:val="000000" w:themeColor="text1"/>
              </w:rPr>
              <w:t>updated</w:t>
            </w:r>
            <w:r w:rsidRPr="009E5798">
              <w:rPr>
                <w:color w:val="000000" w:themeColor="text1"/>
              </w:rPr>
              <w:t xml:space="preserve"> information </w:t>
            </w:r>
            <w:r w:rsidR="001A0BBE">
              <w:rPr>
                <w:color w:val="000000" w:themeColor="text1"/>
              </w:rPr>
              <w:t>on</w:t>
            </w:r>
            <w:r w:rsidRPr="009E5798">
              <w:rPr>
                <w:color w:val="000000" w:themeColor="text1"/>
              </w:rPr>
              <w:t xml:space="preserve"> Responsible Investment</w:t>
            </w:r>
            <w:r w:rsidR="001A4D59">
              <w:rPr>
                <w:color w:val="000000" w:themeColor="text1"/>
              </w:rPr>
              <w:t>, an</w:t>
            </w:r>
            <w:r w:rsidRPr="009E5798">
              <w:rPr>
                <w:color w:val="000000" w:themeColor="text1"/>
              </w:rPr>
              <w:t xml:space="preserve"> agenda</w:t>
            </w:r>
            <w:r w:rsidR="001A0BBE">
              <w:rPr>
                <w:color w:val="000000" w:themeColor="text1"/>
              </w:rPr>
              <w:t xml:space="preserve"> which spans </w:t>
            </w:r>
            <w:r w:rsidR="009E5798">
              <w:rPr>
                <w:color w:val="000000" w:themeColor="text1"/>
              </w:rPr>
              <w:t>activit</w:t>
            </w:r>
            <w:r w:rsidR="00854CB6">
              <w:rPr>
                <w:color w:val="000000" w:themeColor="text1"/>
              </w:rPr>
              <w:t>ies</w:t>
            </w:r>
            <w:r w:rsidR="00484F9D">
              <w:rPr>
                <w:color w:val="000000" w:themeColor="text1"/>
              </w:rPr>
              <w:t xml:space="preserve"> </w:t>
            </w:r>
            <w:r w:rsidR="009E5798">
              <w:rPr>
                <w:color w:val="000000" w:themeColor="text1"/>
              </w:rPr>
              <w:t xml:space="preserve">associated with </w:t>
            </w:r>
            <w:r w:rsidR="001A0BBE">
              <w:rPr>
                <w:color w:val="000000" w:themeColor="text1"/>
              </w:rPr>
              <w:t xml:space="preserve">fulfilling </w:t>
            </w:r>
            <w:r w:rsidRPr="009E5798">
              <w:rPr>
                <w:color w:val="000000" w:themeColor="text1"/>
              </w:rPr>
              <w:t>the Fund</w:t>
            </w:r>
            <w:r w:rsidR="007676C9" w:rsidRPr="009E5798">
              <w:rPr>
                <w:color w:val="000000" w:themeColor="text1"/>
              </w:rPr>
              <w:t>'</w:t>
            </w:r>
            <w:r w:rsidRPr="009E5798">
              <w:rPr>
                <w:color w:val="000000" w:themeColor="text1"/>
              </w:rPr>
              <w:t>s commitment to being a good asset owner</w:t>
            </w:r>
            <w:r w:rsidR="007676C9" w:rsidRPr="009E5798">
              <w:rPr>
                <w:color w:val="000000" w:themeColor="text1"/>
              </w:rPr>
              <w:t>.</w:t>
            </w:r>
          </w:p>
          <w:p w:rsidR="007676C9" w:rsidRPr="009E5798" w:rsidRDefault="007676C9">
            <w:pPr>
              <w:rPr>
                <w:color w:val="000000" w:themeColor="text1"/>
              </w:rPr>
            </w:pPr>
          </w:p>
          <w:p w:rsidR="00EA3F9A" w:rsidRDefault="009E5798">
            <w:pPr>
              <w:rPr>
                <w:color w:val="000000" w:themeColor="text1"/>
              </w:rPr>
            </w:pPr>
            <w:r>
              <w:rPr>
                <w:color w:val="000000" w:themeColor="text1"/>
              </w:rPr>
              <w:t>T</w:t>
            </w:r>
            <w:r w:rsidR="007676C9" w:rsidRPr="009E5798">
              <w:rPr>
                <w:color w:val="000000" w:themeColor="text1"/>
              </w:rPr>
              <w:t xml:space="preserve">he </w:t>
            </w:r>
            <w:r w:rsidR="00EA3F9A">
              <w:rPr>
                <w:color w:val="000000" w:themeColor="text1"/>
              </w:rPr>
              <w:t>report presents the Committee with</w:t>
            </w:r>
            <w:r w:rsidR="00DB1028">
              <w:rPr>
                <w:color w:val="000000" w:themeColor="text1"/>
              </w:rPr>
              <w:t>:</w:t>
            </w:r>
            <w:r w:rsidR="001A0BBE">
              <w:rPr>
                <w:color w:val="000000" w:themeColor="text1"/>
              </w:rPr>
              <w:t xml:space="preserve"> </w:t>
            </w:r>
          </w:p>
          <w:p w:rsidR="004D42A0" w:rsidRDefault="001A0BBE" w:rsidP="00EA3F9A">
            <w:pPr>
              <w:pStyle w:val="ListParagraph"/>
              <w:numPr>
                <w:ilvl w:val="0"/>
                <w:numId w:val="7"/>
              </w:numPr>
              <w:rPr>
                <w:color w:val="000000" w:themeColor="text1"/>
              </w:rPr>
            </w:pPr>
            <w:r>
              <w:rPr>
                <w:color w:val="000000" w:themeColor="text1"/>
              </w:rPr>
              <w:t>latest information from</w:t>
            </w:r>
            <w:r w:rsidRPr="00EA3F9A">
              <w:rPr>
                <w:color w:val="000000" w:themeColor="text1"/>
              </w:rPr>
              <w:t xml:space="preserve"> </w:t>
            </w:r>
            <w:r w:rsidR="007676C9" w:rsidRPr="00EA3F9A">
              <w:rPr>
                <w:color w:val="000000" w:themeColor="text1"/>
              </w:rPr>
              <w:t xml:space="preserve">Pensions and Investment Research Consultants Ltd (PIRC) </w:t>
            </w:r>
            <w:r w:rsidR="004D42A0">
              <w:rPr>
                <w:color w:val="000000" w:themeColor="text1"/>
              </w:rPr>
              <w:t>in its capacity as the Fund's Governance Adviser (Appendix A)</w:t>
            </w:r>
            <w:r w:rsidR="00233142">
              <w:rPr>
                <w:color w:val="000000" w:themeColor="text1"/>
              </w:rPr>
              <w:t>;</w:t>
            </w:r>
          </w:p>
          <w:p w:rsidR="00EA3F9A" w:rsidRPr="00EA3F9A" w:rsidRDefault="00BB77FA" w:rsidP="00EA3F9A">
            <w:pPr>
              <w:pStyle w:val="ListParagraph"/>
              <w:numPr>
                <w:ilvl w:val="0"/>
                <w:numId w:val="7"/>
              </w:numPr>
              <w:rPr>
                <w:color w:val="000000" w:themeColor="text1"/>
              </w:rPr>
            </w:pPr>
            <w:r>
              <w:rPr>
                <w:color w:val="000000" w:themeColor="text1"/>
              </w:rPr>
              <w:t>a quarterly</w:t>
            </w:r>
            <w:r w:rsidR="001A0BBE">
              <w:rPr>
                <w:color w:val="000000" w:themeColor="text1"/>
              </w:rPr>
              <w:t xml:space="preserve"> update from the </w:t>
            </w:r>
            <w:r w:rsidR="007676C9" w:rsidRPr="00EA3F9A">
              <w:rPr>
                <w:color w:val="000000" w:themeColor="text1"/>
              </w:rPr>
              <w:t xml:space="preserve">Local Authority Pension Fund Forum (LAPFF) </w:t>
            </w:r>
            <w:r w:rsidR="001A0BBE">
              <w:rPr>
                <w:color w:val="000000" w:themeColor="text1"/>
              </w:rPr>
              <w:t xml:space="preserve">on </w:t>
            </w:r>
            <w:r w:rsidR="004D42A0">
              <w:rPr>
                <w:color w:val="000000" w:themeColor="text1"/>
              </w:rPr>
              <w:t>engagement</w:t>
            </w:r>
            <w:r w:rsidR="00EA3F9A" w:rsidRPr="00EA3F9A">
              <w:rPr>
                <w:color w:val="000000" w:themeColor="text1"/>
              </w:rPr>
              <w:t xml:space="preserve"> activities </w:t>
            </w:r>
            <w:r w:rsidR="00854CB6">
              <w:rPr>
                <w:color w:val="000000" w:themeColor="text1"/>
              </w:rPr>
              <w:t xml:space="preserve">undertaken </w:t>
            </w:r>
            <w:r w:rsidR="004D42A0">
              <w:rPr>
                <w:color w:val="000000" w:themeColor="text1"/>
              </w:rPr>
              <w:t xml:space="preserve">on behalf of Forum members </w:t>
            </w:r>
            <w:r w:rsidR="00EA3F9A" w:rsidRPr="00EA3F9A">
              <w:rPr>
                <w:color w:val="000000" w:themeColor="text1"/>
              </w:rPr>
              <w:t>(Appendi</w:t>
            </w:r>
            <w:r w:rsidR="004D42A0">
              <w:rPr>
                <w:color w:val="000000" w:themeColor="text1"/>
              </w:rPr>
              <w:t xml:space="preserve">x </w:t>
            </w:r>
            <w:r w:rsidR="00EA3F9A" w:rsidRPr="00EA3F9A">
              <w:rPr>
                <w:color w:val="000000" w:themeColor="text1"/>
              </w:rPr>
              <w:t>B)</w:t>
            </w:r>
            <w:r w:rsidR="00233142">
              <w:rPr>
                <w:color w:val="000000" w:themeColor="text1"/>
              </w:rPr>
              <w:t>;</w:t>
            </w:r>
          </w:p>
          <w:p w:rsidR="00EA3F9A" w:rsidRPr="001A0BBE" w:rsidRDefault="00EA3F9A" w:rsidP="001A0BBE">
            <w:pPr>
              <w:pStyle w:val="ListParagraph"/>
              <w:numPr>
                <w:ilvl w:val="0"/>
                <w:numId w:val="8"/>
              </w:numPr>
              <w:rPr>
                <w:color w:val="000000" w:themeColor="text1"/>
              </w:rPr>
            </w:pPr>
            <w:r w:rsidRPr="001A0BBE">
              <w:rPr>
                <w:color w:val="000000" w:themeColor="text1"/>
              </w:rPr>
              <w:t xml:space="preserve">details of actual and potential actions (legal cases) connected with companies </w:t>
            </w:r>
            <w:r w:rsidR="004D42A0" w:rsidRPr="001A0BBE">
              <w:rPr>
                <w:color w:val="000000" w:themeColor="text1"/>
              </w:rPr>
              <w:t>in which</w:t>
            </w:r>
            <w:r w:rsidRPr="001A0BBE">
              <w:rPr>
                <w:color w:val="000000" w:themeColor="text1"/>
              </w:rPr>
              <w:t xml:space="preserve"> the Fund </w:t>
            </w:r>
            <w:r w:rsidR="004D42A0" w:rsidRPr="001A0BBE">
              <w:rPr>
                <w:color w:val="000000" w:themeColor="text1"/>
              </w:rPr>
              <w:t xml:space="preserve">is </w:t>
            </w:r>
            <w:r w:rsidRPr="001A0BBE">
              <w:rPr>
                <w:color w:val="000000" w:themeColor="text1"/>
              </w:rPr>
              <w:t xml:space="preserve">currently or </w:t>
            </w:r>
            <w:r w:rsidR="004D42A0" w:rsidRPr="001A0BBE">
              <w:rPr>
                <w:color w:val="000000" w:themeColor="text1"/>
              </w:rPr>
              <w:t xml:space="preserve">was </w:t>
            </w:r>
            <w:r w:rsidRPr="001A0BBE">
              <w:rPr>
                <w:color w:val="000000" w:themeColor="text1"/>
              </w:rPr>
              <w:t xml:space="preserve">previously </w:t>
            </w:r>
            <w:r w:rsidR="004D42A0" w:rsidRPr="001A0BBE">
              <w:rPr>
                <w:color w:val="000000" w:themeColor="text1"/>
              </w:rPr>
              <w:t>a shareholder</w:t>
            </w:r>
            <w:r w:rsidR="00233142">
              <w:rPr>
                <w:color w:val="000000" w:themeColor="text1"/>
              </w:rPr>
              <w:t>;</w:t>
            </w:r>
          </w:p>
          <w:p w:rsidR="00EA3F9A" w:rsidRPr="00EA3F9A" w:rsidRDefault="009E5798" w:rsidP="00EA3F9A">
            <w:pPr>
              <w:pStyle w:val="ListParagraph"/>
              <w:numPr>
                <w:ilvl w:val="0"/>
                <w:numId w:val="7"/>
              </w:numPr>
              <w:rPr>
                <w:color w:val="000000" w:themeColor="text1"/>
              </w:rPr>
            </w:pPr>
            <w:r w:rsidRPr="00EA3F9A">
              <w:rPr>
                <w:color w:val="000000" w:themeColor="text1"/>
              </w:rPr>
              <w:t xml:space="preserve">progress </w:t>
            </w:r>
            <w:r w:rsidR="00484F9D">
              <w:rPr>
                <w:color w:val="000000" w:themeColor="text1"/>
              </w:rPr>
              <w:t>against</w:t>
            </w:r>
            <w:r w:rsidR="00224A72">
              <w:rPr>
                <w:color w:val="000000" w:themeColor="text1"/>
              </w:rPr>
              <w:t xml:space="preserve"> the</w:t>
            </w:r>
            <w:r w:rsidR="001A0BBE">
              <w:rPr>
                <w:color w:val="000000" w:themeColor="text1"/>
              </w:rPr>
              <w:t xml:space="preserve"> </w:t>
            </w:r>
            <w:r w:rsidRPr="00EA3F9A">
              <w:rPr>
                <w:color w:val="000000" w:themeColor="text1"/>
              </w:rPr>
              <w:t>action</w:t>
            </w:r>
            <w:r w:rsidR="00224A72">
              <w:rPr>
                <w:color w:val="000000" w:themeColor="text1"/>
              </w:rPr>
              <w:t xml:space="preserve">s </w:t>
            </w:r>
            <w:r w:rsidRPr="00EA3F9A">
              <w:rPr>
                <w:color w:val="000000" w:themeColor="text1"/>
              </w:rPr>
              <w:t xml:space="preserve">agreed by the </w:t>
            </w:r>
            <w:r w:rsidR="00087174" w:rsidRPr="00EA3F9A">
              <w:rPr>
                <w:color w:val="000000" w:themeColor="text1"/>
              </w:rPr>
              <w:t>Member Working Group</w:t>
            </w:r>
            <w:r w:rsidRPr="00EA3F9A">
              <w:rPr>
                <w:color w:val="000000" w:themeColor="text1"/>
              </w:rPr>
              <w:t xml:space="preserve"> on Responsible </w:t>
            </w:r>
            <w:r w:rsidR="00EA3F9A" w:rsidRPr="00EA3F9A">
              <w:rPr>
                <w:color w:val="000000" w:themeColor="text1"/>
              </w:rPr>
              <w:t>Investment</w:t>
            </w:r>
            <w:r w:rsidR="00B21B7F">
              <w:rPr>
                <w:color w:val="000000" w:themeColor="text1"/>
              </w:rPr>
              <w:t>.</w:t>
            </w:r>
            <w:r w:rsidR="00EA3F9A" w:rsidRPr="00EA3F9A">
              <w:rPr>
                <w:color w:val="000000" w:themeColor="text1"/>
              </w:rPr>
              <w:t xml:space="preserve"> </w:t>
            </w:r>
          </w:p>
          <w:p w:rsidR="00087174" w:rsidRDefault="00087174">
            <w:pPr>
              <w:rPr>
                <w:color w:val="00B050"/>
              </w:rPr>
            </w:pPr>
          </w:p>
          <w:p w:rsidR="003E6A45" w:rsidRPr="000F2400" w:rsidRDefault="003E6A45">
            <w:pPr>
              <w:pStyle w:val="Heading5"/>
              <w:rPr>
                <w:rFonts w:ascii="Arial" w:hAnsi="Arial"/>
                <w:b w:val="0"/>
                <w:color w:val="000000" w:themeColor="text1"/>
                <w:u w:val="none"/>
              </w:rPr>
            </w:pPr>
            <w:r w:rsidRPr="000F2400">
              <w:rPr>
                <w:rFonts w:ascii="Arial" w:hAnsi="Arial"/>
                <w:color w:val="000000" w:themeColor="text1"/>
                <w:u w:val="none"/>
              </w:rPr>
              <w:t>Recommendation</w:t>
            </w:r>
          </w:p>
          <w:p w:rsidR="003E6A45" w:rsidRDefault="003E6A45">
            <w:pPr>
              <w:rPr>
                <w:color w:val="000000" w:themeColor="text1"/>
              </w:rPr>
            </w:pPr>
          </w:p>
          <w:p w:rsidR="00DB1028" w:rsidRDefault="00DB1028">
            <w:pPr>
              <w:rPr>
                <w:color w:val="000000" w:themeColor="text1"/>
              </w:rPr>
            </w:pPr>
            <w:r>
              <w:rPr>
                <w:color w:val="000000" w:themeColor="text1"/>
              </w:rPr>
              <w:t xml:space="preserve">The Committee is asked: </w:t>
            </w:r>
          </w:p>
          <w:p w:rsidR="00DB1028" w:rsidRPr="000F2400" w:rsidRDefault="00DB1028">
            <w:pPr>
              <w:rPr>
                <w:color w:val="000000" w:themeColor="text1"/>
              </w:rPr>
            </w:pPr>
          </w:p>
          <w:p w:rsidR="00D97286" w:rsidRDefault="00DB1028" w:rsidP="007B01EE">
            <w:pPr>
              <w:pStyle w:val="ListParagraph"/>
              <w:numPr>
                <w:ilvl w:val="0"/>
                <w:numId w:val="13"/>
              </w:numPr>
              <w:rPr>
                <w:color w:val="000000" w:themeColor="text1"/>
              </w:rPr>
            </w:pPr>
            <w:r>
              <w:rPr>
                <w:color w:val="000000" w:themeColor="text1"/>
              </w:rPr>
              <w:t>To note the report.</w:t>
            </w:r>
          </w:p>
          <w:p w:rsidR="00DB1028" w:rsidRDefault="00DB1028" w:rsidP="00DB1028">
            <w:pPr>
              <w:pStyle w:val="ListParagraph"/>
              <w:rPr>
                <w:color w:val="000000" w:themeColor="text1"/>
              </w:rPr>
            </w:pPr>
          </w:p>
          <w:p w:rsidR="009E0196" w:rsidRPr="007B01EE" w:rsidRDefault="00DB1028" w:rsidP="007B01EE">
            <w:pPr>
              <w:pStyle w:val="ListParagraph"/>
              <w:numPr>
                <w:ilvl w:val="0"/>
                <w:numId w:val="13"/>
              </w:numPr>
              <w:rPr>
                <w:color w:val="000000" w:themeColor="text1"/>
              </w:rPr>
            </w:pPr>
            <w:r>
              <w:rPr>
                <w:color w:val="000000" w:themeColor="text1"/>
              </w:rPr>
              <w:t>To give c</w:t>
            </w:r>
            <w:r w:rsidR="00F1456D" w:rsidRPr="007B01EE">
              <w:rPr>
                <w:color w:val="000000" w:themeColor="text1"/>
              </w:rPr>
              <w:t xml:space="preserve">onsideration </w:t>
            </w:r>
            <w:r>
              <w:rPr>
                <w:color w:val="000000" w:themeColor="text1"/>
              </w:rPr>
              <w:t>t</w:t>
            </w:r>
            <w:r w:rsidR="00F1456D" w:rsidRPr="007B01EE">
              <w:rPr>
                <w:color w:val="000000" w:themeColor="text1"/>
              </w:rPr>
              <w:t xml:space="preserve">o </w:t>
            </w:r>
            <w:r>
              <w:rPr>
                <w:color w:val="000000" w:themeColor="text1"/>
              </w:rPr>
              <w:t>C</w:t>
            </w:r>
            <w:r w:rsidR="00713E46" w:rsidRPr="007B01EE">
              <w:rPr>
                <w:color w:val="000000" w:themeColor="text1"/>
              </w:rPr>
              <w:t xml:space="preserve">ommittee members </w:t>
            </w:r>
            <w:r w:rsidR="001A4D59" w:rsidRPr="007B01EE">
              <w:rPr>
                <w:color w:val="000000" w:themeColor="text1"/>
              </w:rPr>
              <w:t>participating</w:t>
            </w:r>
            <w:r w:rsidR="009E0196" w:rsidRPr="007B01EE">
              <w:rPr>
                <w:color w:val="000000" w:themeColor="text1"/>
              </w:rPr>
              <w:t xml:space="preserve"> in the </w:t>
            </w:r>
            <w:r w:rsidR="001A4D59" w:rsidRPr="007B01EE">
              <w:rPr>
                <w:color w:val="000000" w:themeColor="text1"/>
              </w:rPr>
              <w:t xml:space="preserve">forthcoming </w:t>
            </w:r>
            <w:r w:rsidR="009E0196" w:rsidRPr="007B01EE">
              <w:rPr>
                <w:color w:val="000000" w:themeColor="text1"/>
              </w:rPr>
              <w:t>LAPFF mentoring scheme.</w:t>
            </w:r>
          </w:p>
          <w:p w:rsidR="0042193C" w:rsidRDefault="0042193C" w:rsidP="009E0196"/>
        </w:tc>
      </w:tr>
    </w:tbl>
    <w:p w:rsidR="003E6A45" w:rsidRDefault="003E6A45">
      <w:pPr>
        <w:pStyle w:val="Header"/>
      </w:pPr>
    </w:p>
    <w:p w:rsidR="00772BBA" w:rsidRDefault="00772BBA" w:rsidP="00772BBA">
      <w:pPr>
        <w:rPr>
          <w:b/>
        </w:rPr>
      </w:pPr>
      <w:r>
        <w:rPr>
          <w:b/>
        </w:rPr>
        <w:t xml:space="preserve">Background and Advice </w:t>
      </w:r>
    </w:p>
    <w:p w:rsidR="0042193C" w:rsidRDefault="0042193C" w:rsidP="0042193C">
      <w:pPr>
        <w:rPr>
          <w:color w:val="00B050"/>
        </w:rPr>
      </w:pPr>
    </w:p>
    <w:p w:rsidR="00FA1D91" w:rsidRPr="00224A72" w:rsidRDefault="0077194A" w:rsidP="00FA1D91">
      <w:pPr>
        <w:autoSpaceDE w:val="0"/>
        <w:autoSpaceDN w:val="0"/>
        <w:adjustRightInd w:val="0"/>
        <w:rPr>
          <w:rFonts w:ascii="TT4B78DEo00" w:hAnsi="TT4B78DEo00" w:cs="TT4B78DEo00"/>
          <w:color w:val="000000" w:themeColor="text1"/>
          <w:szCs w:val="24"/>
        </w:rPr>
      </w:pPr>
      <w:r>
        <w:rPr>
          <w:color w:val="000000" w:themeColor="text1"/>
        </w:rPr>
        <w:t xml:space="preserve">Lancashire County Pension </w:t>
      </w:r>
      <w:r w:rsidR="0042193C" w:rsidRPr="00224A72">
        <w:rPr>
          <w:color w:val="000000" w:themeColor="text1"/>
        </w:rPr>
        <w:t xml:space="preserve">Fund aspires to be a good asset owner and is </w:t>
      </w:r>
      <w:r w:rsidR="001A0BBE" w:rsidRPr="00224A72">
        <w:rPr>
          <w:color w:val="000000" w:themeColor="text1"/>
        </w:rPr>
        <w:t xml:space="preserve">in the process of </w:t>
      </w:r>
      <w:r w:rsidR="0042193C" w:rsidRPr="00224A72">
        <w:rPr>
          <w:color w:val="000000" w:themeColor="text1"/>
        </w:rPr>
        <w:t>develop</w:t>
      </w:r>
      <w:r w:rsidR="001A0BBE" w:rsidRPr="00224A72">
        <w:rPr>
          <w:color w:val="000000" w:themeColor="text1"/>
        </w:rPr>
        <w:t>ing</w:t>
      </w:r>
      <w:r w:rsidR="0042193C" w:rsidRPr="00224A72">
        <w:rPr>
          <w:color w:val="000000" w:themeColor="text1"/>
        </w:rPr>
        <w:t xml:space="preserve"> its </w:t>
      </w:r>
      <w:r w:rsidR="001A0BBE" w:rsidRPr="00224A72">
        <w:rPr>
          <w:color w:val="000000" w:themeColor="text1"/>
        </w:rPr>
        <w:t>approach to Responsible I</w:t>
      </w:r>
      <w:r w:rsidR="0042193C" w:rsidRPr="00224A72">
        <w:rPr>
          <w:color w:val="000000" w:themeColor="text1"/>
        </w:rPr>
        <w:t>nvestment</w:t>
      </w:r>
      <w:r w:rsidR="00FA1D91" w:rsidRPr="00224A72">
        <w:rPr>
          <w:color w:val="000000" w:themeColor="text1"/>
        </w:rPr>
        <w:t xml:space="preserve"> in line with the following definition </w:t>
      </w:r>
      <w:r w:rsidR="001E1892">
        <w:rPr>
          <w:color w:val="000000" w:themeColor="text1"/>
        </w:rPr>
        <w:t>from</w:t>
      </w:r>
      <w:r w:rsidR="00FA1D91" w:rsidRPr="00224A72">
        <w:rPr>
          <w:color w:val="000000" w:themeColor="text1"/>
        </w:rPr>
        <w:t xml:space="preserve"> </w:t>
      </w:r>
      <w:r w:rsidR="00FA1D91" w:rsidRPr="00224A72">
        <w:rPr>
          <w:rFonts w:ascii="TT4B78DEo00" w:hAnsi="TT4B78DEo00" w:cs="TT4B78DEo00"/>
          <w:color w:val="000000" w:themeColor="text1"/>
          <w:szCs w:val="24"/>
        </w:rPr>
        <w:t>the National Association of Pension Funds (NAPF):</w:t>
      </w:r>
    </w:p>
    <w:p w:rsidR="00FA1D91" w:rsidRPr="00224A72" w:rsidRDefault="00FA1D91" w:rsidP="00FA1D91">
      <w:pPr>
        <w:autoSpaceDE w:val="0"/>
        <w:autoSpaceDN w:val="0"/>
        <w:adjustRightInd w:val="0"/>
        <w:jc w:val="center"/>
        <w:rPr>
          <w:rFonts w:ascii="TT4B78DEo00" w:hAnsi="TT4B78DEo00" w:cs="TT4B78DEo00"/>
          <w:color w:val="000000" w:themeColor="text1"/>
          <w:szCs w:val="24"/>
        </w:rPr>
      </w:pPr>
    </w:p>
    <w:p w:rsidR="00FA1D91" w:rsidRPr="00224A72" w:rsidRDefault="00FA1D91" w:rsidP="00DB1028">
      <w:pPr>
        <w:autoSpaceDE w:val="0"/>
        <w:autoSpaceDN w:val="0"/>
        <w:adjustRightInd w:val="0"/>
        <w:rPr>
          <w:rFonts w:ascii="TT4B78DEo00" w:hAnsi="TT4B78DEo00" w:cs="TT4B78DEo00"/>
          <w:i/>
          <w:color w:val="000000" w:themeColor="text1"/>
          <w:szCs w:val="24"/>
        </w:rPr>
      </w:pPr>
      <w:r w:rsidRPr="00224A72">
        <w:rPr>
          <w:rFonts w:ascii="TT4B78DEo00" w:hAnsi="TT4B78DEo00" w:cs="TT4B78DEo00"/>
          <w:i/>
          <w:color w:val="000000" w:themeColor="text1"/>
          <w:szCs w:val="24"/>
        </w:rPr>
        <w:t>Responsible Investment is an investment approach in which investors recognise the importance of the long-term health and stability of the market as a whole; seeking to incorporate material extra-financial factors alongside other financial performance and strategic assessments within investment decisions; and utilise ownership rights and</w:t>
      </w:r>
      <w:bookmarkStart w:id="0" w:name="_GoBack"/>
      <w:bookmarkEnd w:id="0"/>
      <w:r w:rsidRPr="00224A72">
        <w:rPr>
          <w:rFonts w:ascii="TT4B78DEo00" w:hAnsi="TT4B78DEo00" w:cs="TT4B78DEo00"/>
          <w:i/>
          <w:color w:val="000000" w:themeColor="text1"/>
          <w:szCs w:val="24"/>
        </w:rPr>
        <w:t xml:space="preserve"> </w:t>
      </w:r>
      <w:r w:rsidRPr="00224A72">
        <w:rPr>
          <w:rFonts w:ascii="TT4B78DEo00" w:hAnsi="TT4B78DEo00" w:cs="TT4B78DEo00"/>
          <w:i/>
          <w:color w:val="000000" w:themeColor="text1"/>
          <w:szCs w:val="24"/>
        </w:rPr>
        <w:lastRenderedPageBreak/>
        <w:t>responsibilities attached to assets to protect and enhance shareholder value over the long term – primarily through voting and engagement.</w:t>
      </w:r>
    </w:p>
    <w:p w:rsidR="00FA1D91" w:rsidRDefault="00FA1D91" w:rsidP="0042193C">
      <w:pPr>
        <w:rPr>
          <w:color w:val="00B050"/>
        </w:rPr>
      </w:pPr>
    </w:p>
    <w:p w:rsidR="00595438" w:rsidRPr="00224A72" w:rsidRDefault="004F481F" w:rsidP="0042193C">
      <w:pPr>
        <w:rPr>
          <w:color w:val="000000" w:themeColor="text1"/>
        </w:rPr>
      </w:pPr>
      <w:r w:rsidRPr="00224A72">
        <w:rPr>
          <w:color w:val="000000" w:themeColor="text1"/>
        </w:rPr>
        <w:t xml:space="preserve">The Fund's </w:t>
      </w:r>
      <w:r w:rsidR="0085737C">
        <w:rPr>
          <w:color w:val="000000" w:themeColor="text1"/>
        </w:rPr>
        <w:t xml:space="preserve">current </w:t>
      </w:r>
      <w:r w:rsidRPr="00224A72">
        <w:rPr>
          <w:color w:val="000000" w:themeColor="text1"/>
        </w:rPr>
        <w:t xml:space="preserve">approach </w:t>
      </w:r>
      <w:r w:rsidR="00224A72" w:rsidRPr="00224A72">
        <w:rPr>
          <w:color w:val="000000" w:themeColor="text1"/>
        </w:rPr>
        <w:t xml:space="preserve">to Responsible Investment </w:t>
      </w:r>
      <w:r w:rsidR="001A4D59">
        <w:rPr>
          <w:color w:val="000000" w:themeColor="text1"/>
        </w:rPr>
        <w:t>i</w:t>
      </w:r>
      <w:r w:rsidR="0063102C">
        <w:rPr>
          <w:color w:val="000000" w:themeColor="text1"/>
        </w:rPr>
        <w:t xml:space="preserve">s set out </w:t>
      </w:r>
      <w:r w:rsidR="00713E46">
        <w:rPr>
          <w:color w:val="000000" w:themeColor="text1"/>
        </w:rPr>
        <w:t>with</w:t>
      </w:r>
      <w:r w:rsidR="0063102C">
        <w:rPr>
          <w:color w:val="000000" w:themeColor="text1"/>
        </w:rPr>
        <w:t xml:space="preserve">in its </w:t>
      </w:r>
      <w:r w:rsidR="00EB60B3">
        <w:rPr>
          <w:color w:val="000000" w:themeColor="text1"/>
        </w:rPr>
        <w:t>Stateme</w:t>
      </w:r>
      <w:r w:rsidR="0085737C">
        <w:rPr>
          <w:color w:val="000000" w:themeColor="text1"/>
        </w:rPr>
        <w:t xml:space="preserve">nt of Investment Principles </w:t>
      </w:r>
      <w:r w:rsidR="001A4D59">
        <w:rPr>
          <w:color w:val="000000" w:themeColor="text1"/>
        </w:rPr>
        <w:t xml:space="preserve">and </w:t>
      </w:r>
      <w:r w:rsidR="00224A72" w:rsidRPr="00224A72">
        <w:rPr>
          <w:color w:val="000000" w:themeColor="text1"/>
        </w:rPr>
        <w:t>features</w:t>
      </w:r>
      <w:r w:rsidR="00595438" w:rsidRPr="00224A72">
        <w:rPr>
          <w:color w:val="000000" w:themeColor="text1"/>
        </w:rPr>
        <w:t xml:space="preserve"> </w:t>
      </w:r>
      <w:r w:rsidR="0061698C" w:rsidRPr="00224A72">
        <w:rPr>
          <w:color w:val="000000" w:themeColor="text1"/>
        </w:rPr>
        <w:t xml:space="preserve">four </w:t>
      </w:r>
      <w:r w:rsidR="00B33EB4">
        <w:rPr>
          <w:color w:val="000000" w:themeColor="text1"/>
        </w:rPr>
        <w:t xml:space="preserve">key </w:t>
      </w:r>
      <w:r w:rsidR="00595438" w:rsidRPr="00224A72">
        <w:rPr>
          <w:color w:val="000000" w:themeColor="text1"/>
        </w:rPr>
        <w:t xml:space="preserve">strands of </w:t>
      </w:r>
      <w:r w:rsidR="0061698C" w:rsidRPr="00224A72">
        <w:rPr>
          <w:color w:val="000000" w:themeColor="text1"/>
        </w:rPr>
        <w:t>activity</w:t>
      </w:r>
      <w:r w:rsidR="00595438" w:rsidRPr="00224A72">
        <w:rPr>
          <w:color w:val="000000" w:themeColor="text1"/>
        </w:rPr>
        <w:t>:</w:t>
      </w:r>
      <w:r w:rsidR="0061698C" w:rsidRPr="00224A72">
        <w:rPr>
          <w:color w:val="000000" w:themeColor="text1"/>
        </w:rPr>
        <w:t xml:space="preserve"> </w:t>
      </w:r>
    </w:p>
    <w:p w:rsidR="00D97286" w:rsidRDefault="00D97286" w:rsidP="007B01EE">
      <w:pPr>
        <w:pStyle w:val="ListParagraph"/>
        <w:ind w:left="426"/>
        <w:rPr>
          <w:color w:val="000000" w:themeColor="text1"/>
        </w:rPr>
      </w:pPr>
    </w:p>
    <w:p w:rsidR="00595438" w:rsidRPr="00224A72" w:rsidRDefault="00595438" w:rsidP="00595438">
      <w:pPr>
        <w:pStyle w:val="ListParagraph"/>
        <w:numPr>
          <w:ilvl w:val="0"/>
          <w:numId w:val="9"/>
        </w:numPr>
        <w:ind w:left="426" w:hanging="426"/>
        <w:rPr>
          <w:color w:val="000000" w:themeColor="text1"/>
        </w:rPr>
      </w:pPr>
      <w:r w:rsidRPr="00224A72">
        <w:rPr>
          <w:color w:val="000000" w:themeColor="text1"/>
        </w:rPr>
        <w:t>Voting Globally</w:t>
      </w:r>
    </w:p>
    <w:p w:rsidR="00595438" w:rsidRPr="00224A72" w:rsidRDefault="00595438" w:rsidP="00595438">
      <w:pPr>
        <w:pStyle w:val="ListParagraph"/>
        <w:numPr>
          <w:ilvl w:val="0"/>
          <w:numId w:val="9"/>
        </w:numPr>
        <w:ind w:left="426" w:hanging="426"/>
        <w:rPr>
          <w:color w:val="000000" w:themeColor="text1"/>
        </w:rPr>
      </w:pPr>
      <w:r w:rsidRPr="00224A72">
        <w:rPr>
          <w:color w:val="000000" w:themeColor="text1"/>
        </w:rPr>
        <w:t>Engagement Through Partnerships</w:t>
      </w:r>
    </w:p>
    <w:p w:rsidR="00595438" w:rsidRPr="00224A72" w:rsidRDefault="00595438" w:rsidP="00595438">
      <w:pPr>
        <w:pStyle w:val="ListParagraph"/>
        <w:numPr>
          <w:ilvl w:val="0"/>
          <w:numId w:val="9"/>
        </w:numPr>
        <w:ind w:left="426" w:hanging="426"/>
        <w:rPr>
          <w:color w:val="000000" w:themeColor="text1"/>
        </w:rPr>
      </w:pPr>
      <w:r w:rsidRPr="00224A72">
        <w:rPr>
          <w:color w:val="000000" w:themeColor="text1"/>
        </w:rPr>
        <w:t>Shareholder Litigation</w:t>
      </w:r>
    </w:p>
    <w:p w:rsidR="00595438" w:rsidRPr="00224A72" w:rsidRDefault="00595438" w:rsidP="00595438">
      <w:pPr>
        <w:pStyle w:val="ListParagraph"/>
        <w:numPr>
          <w:ilvl w:val="0"/>
          <w:numId w:val="9"/>
        </w:numPr>
        <w:ind w:left="426" w:hanging="426"/>
        <w:rPr>
          <w:color w:val="000000" w:themeColor="text1"/>
        </w:rPr>
      </w:pPr>
      <w:r w:rsidRPr="00224A72">
        <w:rPr>
          <w:color w:val="000000" w:themeColor="text1"/>
        </w:rPr>
        <w:t>Active Investing</w:t>
      </w:r>
    </w:p>
    <w:p w:rsidR="00D97286" w:rsidRDefault="00D97286" w:rsidP="0042193C">
      <w:pPr>
        <w:rPr>
          <w:color w:val="000000" w:themeColor="text1"/>
        </w:rPr>
      </w:pPr>
    </w:p>
    <w:p w:rsidR="00446201" w:rsidRDefault="00B33EB4" w:rsidP="0042193C">
      <w:pPr>
        <w:rPr>
          <w:color w:val="000000" w:themeColor="text1"/>
        </w:rPr>
      </w:pPr>
      <w:r>
        <w:rPr>
          <w:color w:val="000000" w:themeColor="text1"/>
        </w:rPr>
        <w:t>Working a</w:t>
      </w:r>
      <w:r w:rsidR="00EB60B3">
        <w:rPr>
          <w:color w:val="000000" w:themeColor="text1"/>
        </w:rPr>
        <w:t>cross these strands</w:t>
      </w:r>
      <w:r w:rsidR="00FC31A1">
        <w:rPr>
          <w:color w:val="000000" w:themeColor="text1"/>
        </w:rPr>
        <w:t>,</w:t>
      </w:r>
      <w:r w:rsidR="00EB60B3">
        <w:rPr>
          <w:color w:val="000000" w:themeColor="text1"/>
        </w:rPr>
        <w:t xml:space="preserve"> t</w:t>
      </w:r>
      <w:r w:rsidR="00CC1A06">
        <w:rPr>
          <w:color w:val="000000" w:themeColor="text1"/>
        </w:rPr>
        <w:t>he</w:t>
      </w:r>
      <w:r w:rsidR="00224A72">
        <w:rPr>
          <w:color w:val="000000" w:themeColor="text1"/>
        </w:rPr>
        <w:t xml:space="preserve"> </w:t>
      </w:r>
      <w:r w:rsidR="00166182">
        <w:rPr>
          <w:color w:val="000000" w:themeColor="text1"/>
        </w:rPr>
        <w:t xml:space="preserve">Fund </w:t>
      </w:r>
      <w:r>
        <w:rPr>
          <w:color w:val="000000" w:themeColor="text1"/>
        </w:rPr>
        <w:t xml:space="preserve">is </w:t>
      </w:r>
      <w:r w:rsidR="00CC1A06">
        <w:rPr>
          <w:color w:val="000000" w:themeColor="text1"/>
        </w:rPr>
        <w:t>aim</w:t>
      </w:r>
      <w:r>
        <w:rPr>
          <w:color w:val="000000" w:themeColor="text1"/>
        </w:rPr>
        <w:t>ing</w:t>
      </w:r>
      <w:r w:rsidR="00CC1A06">
        <w:rPr>
          <w:color w:val="000000" w:themeColor="text1"/>
        </w:rPr>
        <w:t xml:space="preserve"> </w:t>
      </w:r>
      <w:r w:rsidR="0077194A">
        <w:rPr>
          <w:color w:val="000000" w:themeColor="text1"/>
        </w:rPr>
        <w:t>to</w:t>
      </w:r>
      <w:r w:rsidR="00166182">
        <w:rPr>
          <w:color w:val="000000" w:themeColor="text1"/>
        </w:rPr>
        <w:t xml:space="preserve"> </w:t>
      </w:r>
      <w:r w:rsidR="00C85BD8">
        <w:rPr>
          <w:color w:val="000000" w:themeColor="text1"/>
        </w:rPr>
        <w:t xml:space="preserve">ensure </w:t>
      </w:r>
      <w:r w:rsidR="007F7BED">
        <w:rPr>
          <w:color w:val="000000" w:themeColor="text1"/>
        </w:rPr>
        <w:t xml:space="preserve">an investment approach </w:t>
      </w:r>
      <w:r w:rsidR="00156B02">
        <w:rPr>
          <w:color w:val="000000" w:themeColor="text1"/>
        </w:rPr>
        <w:t>which</w:t>
      </w:r>
      <w:r w:rsidR="00713E46">
        <w:rPr>
          <w:color w:val="000000" w:themeColor="text1"/>
        </w:rPr>
        <w:t xml:space="preserve"> </w:t>
      </w:r>
      <w:r w:rsidR="007F7BED">
        <w:rPr>
          <w:color w:val="000000" w:themeColor="text1"/>
        </w:rPr>
        <w:t xml:space="preserve">considers </w:t>
      </w:r>
      <w:r w:rsidR="00F75669">
        <w:rPr>
          <w:color w:val="000000" w:themeColor="text1"/>
        </w:rPr>
        <w:t xml:space="preserve">relevant </w:t>
      </w:r>
      <w:r w:rsidR="00713E46">
        <w:rPr>
          <w:color w:val="000000" w:themeColor="text1"/>
        </w:rPr>
        <w:t xml:space="preserve">Environmental, Social and Governance </w:t>
      </w:r>
      <w:r w:rsidR="00502A79">
        <w:rPr>
          <w:color w:val="000000" w:themeColor="text1"/>
        </w:rPr>
        <w:t xml:space="preserve">(ESG) </w:t>
      </w:r>
      <w:r w:rsidR="007F7BED">
        <w:rPr>
          <w:color w:val="000000" w:themeColor="text1"/>
        </w:rPr>
        <w:t xml:space="preserve">factors as part of </w:t>
      </w:r>
      <w:r w:rsidR="00156B02">
        <w:rPr>
          <w:color w:val="000000" w:themeColor="text1"/>
        </w:rPr>
        <w:t>its</w:t>
      </w:r>
      <w:r w:rsidR="007F7BED">
        <w:rPr>
          <w:color w:val="000000" w:themeColor="text1"/>
        </w:rPr>
        <w:t xml:space="preserve"> identification of new and </w:t>
      </w:r>
      <w:r w:rsidR="00713E46">
        <w:rPr>
          <w:color w:val="000000" w:themeColor="text1"/>
        </w:rPr>
        <w:t>sustainable investment opportunities</w:t>
      </w:r>
      <w:r w:rsidR="007F7BED">
        <w:rPr>
          <w:color w:val="000000" w:themeColor="text1"/>
        </w:rPr>
        <w:t xml:space="preserve">. </w:t>
      </w:r>
      <w:r w:rsidR="00C85BD8">
        <w:rPr>
          <w:color w:val="000000" w:themeColor="text1"/>
        </w:rPr>
        <w:t xml:space="preserve">The Fund is </w:t>
      </w:r>
      <w:r w:rsidR="00713E46">
        <w:rPr>
          <w:color w:val="000000" w:themeColor="text1"/>
        </w:rPr>
        <w:t xml:space="preserve">also </w:t>
      </w:r>
      <w:r w:rsidR="00C85BD8">
        <w:rPr>
          <w:color w:val="000000" w:themeColor="text1"/>
        </w:rPr>
        <w:t xml:space="preserve">seeking to </w:t>
      </w:r>
      <w:r w:rsidR="007F7BED">
        <w:rPr>
          <w:color w:val="000000" w:themeColor="text1"/>
        </w:rPr>
        <w:t>be an active asset owner, an</w:t>
      </w:r>
      <w:r w:rsidR="00156B02">
        <w:rPr>
          <w:color w:val="000000" w:themeColor="text1"/>
        </w:rPr>
        <w:t xml:space="preserve"> aspiration which </w:t>
      </w:r>
      <w:r w:rsidR="00F75669">
        <w:rPr>
          <w:color w:val="000000" w:themeColor="text1"/>
        </w:rPr>
        <w:t>recognises</w:t>
      </w:r>
      <w:r w:rsidR="00156B02">
        <w:rPr>
          <w:color w:val="000000" w:themeColor="text1"/>
        </w:rPr>
        <w:t xml:space="preserve"> that engagement activity is </w:t>
      </w:r>
      <w:r w:rsidR="00F75669">
        <w:rPr>
          <w:color w:val="000000" w:themeColor="text1"/>
        </w:rPr>
        <w:t>linked to</w:t>
      </w:r>
      <w:r w:rsidR="00156B02">
        <w:rPr>
          <w:color w:val="000000" w:themeColor="text1"/>
        </w:rPr>
        <w:t xml:space="preserve"> risk mitigation </w:t>
      </w:r>
      <w:r w:rsidR="00F75669">
        <w:rPr>
          <w:color w:val="000000" w:themeColor="text1"/>
        </w:rPr>
        <w:t xml:space="preserve">and value creation. Working collaboratively, in partnership and via the targeted use of agents, </w:t>
      </w:r>
      <w:r w:rsidR="00C9631E">
        <w:rPr>
          <w:color w:val="000000" w:themeColor="text1"/>
        </w:rPr>
        <w:t xml:space="preserve">the Fund's </w:t>
      </w:r>
      <w:r w:rsidR="00CA1DD7">
        <w:rPr>
          <w:color w:val="000000" w:themeColor="text1"/>
        </w:rPr>
        <w:t>engagement activities</w:t>
      </w:r>
      <w:r w:rsidR="00F75669">
        <w:rPr>
          <w:color w:val="000000" w:themeColor="text1"/>
        </w:rPr>
        <w:t xml:space="preserve"> </w:t>
      </w:r>
      <w:r w:rsidR="00CA1DD7">
        <w:rPr>
          <w:color w:val="000000" w:themeColor="text1"/>
        </w:rPr>
        <w:t>are</w:t>
      </w:r>
      <w:r w:rsidR="00F75669">
        <w:rPr>
          <w:color w:val="000000" w:themeColor="text1"/>
        </w:rPr>
        <w:t xml:space="preserve"> intended to </w:t>
      </w:r>
      <w:r w:rsidR="004505D5">
        <w:rPr>
          <w:color w:val="000000" w:themeColor="text1"/>
        </w:rPr>
        <w:t>encourage be</w:t>
      </w:r>
      <w:r w:rsidR="00CA1DD7">
        <w:rPr>
          <w:color w:val="000000" w:themeColor="text1"/>
        </w:rPr>
        <w:t xml:space="preserve">st practice and </w:t>
      </w:r>
      <w:r w:rsidR="00C9631E">
        <w:rPr>
          <w:color w:val="000000" w:themeColor="text1"/>
        </w:rPr>
        <w:t>performance gain</w:t>
      </w:r>
      <w:r w:rsidR="00CA1DD7">
        <w:rPr>
          <w:color w:val="000000" w:themeColor="text1"/>
        </w:rPr>
        <w:t>s</w:t>
      </w:r>
      <w:r w:rsidR="00F75669">
        <w:rPr>
          <w:color w:val="000000" w:themeColor="text1"/>
        </w:rPr>
        <w:t>.</w:t>
      </w:r>
    </w:p>
    <w:p w:rsidR="00446201" w:rsidRDefault="00446201" w:rsidP="0042193C">
      <w:pPr>
        <w:rPr>
          <w:color w:val="000000" w:themeColor="text1"/>
        </w:rPr>
      </w:pPr>
    </w:p>
    <w:p w:rsidR="00224A72" w:rsidRDefault="00224A72" w:rsidP="0042193C">
      <w:pPr>
        <w:rPr>
          <w:color w:val="000000" w:themeColor="text1"/>
        </w:rPr>
      </w:pPr>
      <w:r>
        <w:rPr>
          <w:color w:val="000000" w:themeColor="text1"/>
        </w:rPr>
        <w:t xml:space="preserve">This report </w:t>
      </w:r>
      <w:r w:rsidRPr="00224A72">
        <w:rPr>
          <w:color w:val="000000" w:themeColor="text1"/>
        </w:rPr>
        <w:t>provide</w:t>
      </w:r>
      <w:r>
        <w:rPr>
          <w:color w:val="000000" w:themeColor="text1"/>
        </w:rPr>
        <w:t>s</w:t>
      </w:r>
      <w:r w:rsidRPr="00224A72">
        <w:rPr>
          <w:color w:val="000000" w:themeColor="text1"/>
        </w:rPr>
        <w:t xml:space="preserve"> </w:t>
      </w:r>
      <w:r w:rsidR="00F75669">
        <w:rPr>
          <w:color w:val="000000" w:themeColor="text1"/>
        </w:rPr>
        <w:t xml:space="preserve">Committee </w:t>
      </w:r>
      <w:r w:rsidRPr="00224A72">
        <w:rPr>
          <w:color w:val="000000" w:themeColor="text1"/>
        </w:rPr>
        <w:t>members with up to date information on</w:t>
      </w:r>
      <w:r w:rsidR="008A69B3">
        <w:rPr>
          <w:color w:val="000000" w:themeColor="text1"/>
        </w:rPr>
        <w:t xml:space="preserve"> </w:t>
      </w:r>
      <w:r w:rsidR="00BB77FA">
        <w:rPr>
          <w:color w:val="000000" w:themeColor="text1"/>
        </w:rPr>
        <w:t xml:space="preserve">the </w:t>
      </w:r>
      <w:r w:rsidR="00BB0369">
        <w:rPr>
          <w:color w:val="000000" w:themeColor="text1"/>
        </w:rPr>
        <w:t xml:space="preserve">work undertaken against </w:t>
      </w:r>
      <w:r w:rsidR="00EB60B3">
        <w:rPr>
          <w:color w:val="000000" w:themeColor="text1"/>
        </w:rPr>
        <w:t xml:space="preserve">each </w:t>
      </w:r>
      <w:r w:rsidR="008B570C">
        <w:rPr>
          <w:color w:val="000000" w:themeColor="text1"/>
        </w:rPr>
        <w:t>activity strand</w:t>
      </w:r>
      <w:r w:rsidR="00547D03">
        <w:rPr>
          <w:color w:val="000000" w:themeColor="text1"/>
        </w:rPr>
        <w:t xml:space="preserve"> </w:t>
      </w:r>
      <w:r w:rsidR="00484F9D">
        <w:rPr>
          <w:color w:val="000000" w:themeColor="text1"/>
        </w:rPr>
        <w:t xml:space="preserve">and gives </w:t>
      </w:r>
      <w:r w:rsidRPr="00224A72">
        <w:rPr>
          <w:color w:val="000000" w:themeColor="text1"/>
        </w:rPr>
        <w:t xml:space="preserve">details of specific </w:t>
      </w:r>
      <w:r w:rsidR="00547D03">
        <w:rPr>
          <w:color w:val="000000" w:themeColor="text1"/>
        </w:rPr>
        <w:t xml:space="preserve">matters of </w:t>
      </w:r>
      <w:r w:rsidRPr="00224A72">
        <w:rPr>
          <w:color w:val="000000" w:themeColor="text1"/>
        </w:rPr>
        <w:t>note.</w:t>
      </w:r>
      <w:r w:rsidR="00166182" w:rsidRPr="00166182">
        <w:rPr>
          <w:color w:val="000000" w:themeColor="text1"/>
        </w:rPr>
        <w:t xml:space="preserve"> </w:t>
      </w:r>
    </w:p>
    <w:p w:rsidR="00FE0105" w:rsidRDefault="00FE0105" w:rsidP="0042193C">
      <w:pPr>
        <w:rPr>
          <w:color w:val="00B050"/>
        </w:rPr>
      </w:pPr>
    </w:p>
    <w:p w:rsidR="00792A18" w:rsidRDefault="00FA1D91" w:rsidP="00DB1028">
      <w:pPr>
        <w:pStyle w:val="ListParagraph"/>
        <w:numPr>
          <w:ilvl w:val="0"/>
          <w:numId w:val="10"/>
        </w:numPr>
        <w:ind w:left="0" w:firstLine="0"/>
        <w:rPr>
          <w:b/>
          <w:color w:val="000000" w:themeColor="text1"/>
        </w:rPr>
      </w:pPr>
      <w:r w:rsidRPr="00F22928">
        <w:rPr>
          <w:b/>
          <w:color w:val="000000" w:themeColor="text1"/>
        </w:rPr>
        <w:t xml:space="preserve">Voting </w:t>
      </w:r>
      <w:r w:rsidR="00F22928" w:rsidRPr="00F22928">
        <w:rPr>
          <w:b/>
          <w:color w:val="000000" w:themeColor="text1"/>
        </w:rPr>
        <w:t>G</w:t>
      </w:r>
      <w:r w:rsidR="0042193C" w:rsidRPr="00F22928">
        <w:rPr>
          <w:b/>
          <w:color w:val="000000" w:themeColor="text1"/>
        </w:rPr>
        <w:t>loba</w:t>
      </w:r>
      <w:r w:rsidRPr="00F22928">
        <w:rPr>
          <w:b/>
          <w:color w:val="000000" w:themeColor="text1"/>
        </w:rPr>
        <w:t>l</w:t>
      </w:r>
      <w:r w:rsidR="0042193C" w:rsidRPr="00F22928">
        <w:rPr>
          <w:b/>
          <w:color w:val="000000" w:themeColor="text1"/>
        </w:rPr>
        <w:t>l</w:t>
      </w:r>
      <w:r w:rsidRPr="00F22928">
        <w:rPr>
          <w:b/>
          <w:color w:val="000000" w:themeColor="text1"/>
        </w:rPr>
        <w:t xml:space="preserve">y </w:t>
      </w:r>
    </w:p>
    <w:p w:rsidR="00DB1028" w:rsidRDefault="00DB1028" w:rsidP="00731AC1">
      <w:pPr>
        <w:autoSpaceDE w:val="0"/>
        <w:autoSpaceDN w:val="0"/>
        <w:adjustRightInd w:val="0"/>
        <w:rPr>
          <w:color w:val="000000" w:themeColor="text1"/>
          <w:szCs w:val="24"/>
        </w:rPr>
      </w:pPr>
    </w:p>
    <w:p w:rsidR="00731AC1" w:rsidRPr="0046657E" w:rsidRDefault="00446201" w:rsidP="00731AC1">
      <w:pPr>
        <w:autoSpaceDE w:val="0"/>
        <w:autoSpaceDN w:val="0"/>
        <w:adjustRightInd w:val="0"/>
        <w:rPr>
          <w:color w:val="000000" w:themeColor="text1"/>
          <w:szCs w:val="24"/>
        </w:rPr>
      </w:pPr>
      <w:r w:rsidRPr="0046657E">
        <w:rPr>
          <w:color w:val="000000" w:themeColor="text1"/>
          <w:szCs w:val="24"/>
        </w:rPr>
        <w:t>T</w:t>
      </w:r>
      <w:r w:rsidR="00F22928" w:rsidRPr="0046657E">
        <w:rPr>
          <w:color w:val="000000" w:themeColor="text1"/>
          <w:szCs w:val="24"/>
        </w:rPr>
        <w:t xml:space="preserve">o ensure </w:t>
      </w:r>
      <w:r w:rsidR="00BB77FA" w:rsidRPr="0046657E">
        <w:rPr>
          <w:color w:val="000000" w:themeColor="text1"/>
          <w:szCs w:val="24"/>
        </w:rPr>
        <w:t xml:space="preserve">effective and consistent use of </w:t>
      </w:r>
      <w:r w:rsidR="00C9631E">
        <w:rPr>
          <w:color w:val="000000" w:themeColor="text1"/>
          <w:szCs w:val="24"/>
        </w:rPr>
        <w:t xml:space="preserve">its voting rights </w:t>
      </w:r>
      <w:r w:rsidR="00F22928" w:rsidRPr="0046657E">
        <w:rPr>
          <w:color w:val="000000" w:themeColor="text1"/>
          <w:szCs w:val="24"/>
        </w:rPr>
        <w:t>as a shareholder</w:t>
      </w:r>
      <w:r w:rsidR="007E36BD">
        <w:rPr>
          <w:color w:val="000000" w:themeColor="text1"/>
          <w:szCs w:val="24"/>
        </w:rPr>
        <w:t xml:space="preserve"> in companies worldwide</w:t>
      </w:r>
      <w:r w:rsidR="0085737C">
        <w:rPr>
          <w:color w:val="000000" w:themeColor="text1"/>
          <w:szCs w:val="24"/>
        </w:rPr>
        <w:t>,</w:t>
      </w:r>
      <w:r w:rsidR="00F22928" w:rsidRPr="0046657E">
        <w:rPr>
          <w:color w:val="000000" w:themeColor="text1"/>
          <w:szCs w:val="24"/>
        </w:rPr>
        <w:t xml:space="preserve"> </w:t>
      </w:r>
      <w:r w:rsidRPr="0046657E">
        <w:rPr>
          <w:color w:val="000000" w:themeColor="text1"/>
          <w:szCs w:val="24"/>
        </w:rPr>
        <w:t>the Fund employs Pensions and Investment Research Consultants Ltd (PIRC)</w:t>
      </w:r>
      <w:r w:rsidR="00BB0369" w:rsidRPr="0046657E">
        <w:rPr>
          <w:color w:val="000000" w:themeColor="text1"/>
          <w:szCs w:val="24"/>
        </w:rPr>
        <w:t xml:space="preserve"> as its agent</w:t>
      </w:r>
      <w:r w:rsidRPr="0046657E">
        <w:rPr>
          <w:color w:val="000000" w:themeColor="text1"/>
          <w:szCs w:val="24"/>
        </w:rPr>
        <w:t>.</w:t>
      </w:r>
      <w:r w:rsidR="00F22928" w:rsidRPr="0046657E">
        <w:rPr>
          <w:color w:val="000000" w:themeColor="text1"/>
          <w:szCs w:val="24"/>
        </w:rPr>
        <w:t xml:space="preserve"> PIRC vote </w:t>
      </w:r>
      <w:r w:rsidR="00B43819" w:rsidRPr="0046657E">
        <w:rPr>
          <w:color w:val="000000" w:themeColor="text1"/>
          <w:szCs w:val="24"/>
        </w:rPr>
        <w:t xml:space="preserve">on behalf of the Fund </w:t>
      </w:r>
      <w:r w:rsidR="00BB0369" w:rsidRPr="0046657E">
        <w:rPr>
          <w:color w:val="000000" w:themeColor="text1"/>
          <w:szCs w:val="24"/>
        </w:rPr>
        <w:t>at shareholder meetings</w:t>
      </w:r>
      <w:r w:rsidR="00BB77FA" w:rsidRPr="0046657E">
        <w:rPr>
          <w:color w:val="000000" w:themeColor="text1"/>
          <w:szCs w:val="24"/>
        </w:rPr>
        <w:t xml:space="preserve">. </w:t>
      </w:r>
    </w:p>
    <w:p w:rsidR="00731AC1" w:rsidRPr="0046657E" w:rsidRDefault="00731AC1" w:rsidP="00731AC1">
      <w:pPr>
        <w:autoSpaceDE w:val="0"/>
        <w:autoSpaceDN w:val="0"/>
        <w:adjustRightInd w:val="0"/>
        <w:rPr>
          <w:color w:val="000000" w:themeColor="text1"/>
          <w:szCs w:val="24"/>
        </w:rPr>
      </w:pPr>
    </w:p>
    <w:p w:rsidR="00731AC1" w:rsidRPr="0046657E" w:rsidRDefault="00215E35" w:rsidP="00731AC1">
      <w:pPr>
        <w:autoSpaceDE w:val="0"/>
        <w:autoSpaceDN w:val="0"/>
        <w:adjustRightInd w:val="0"/>
        <w:rPr>
          <w:rFonts w:ascii="Calibri-Bold" w:hAnsi="Calibri-Bold" w:cs="Calibri-Bold"/>
          <w:bCs/>
          <w:color w:val="000000" w:themeColor="text1"/>
          <w:szCs w:val="24"/>
        </w:rPr>
      </w:pPr>
      <w:r w:rsidRPr="0046657E">
        <w:rPr>
          <w:bCs/>
          <w:color w:val="000000" w:themeColor="text1"/>
          <w:szCs w:val="24"/>
        </w:rPr>
        <w:t>U</w:t>
      </w:r>
      <w:r w:rsidR="00F22928" w:rsidRPr="0046657E">
        <w:rPr>
          <w:bCs/>
          <w:color w:val="000000" w:themeColor="text1"/>
          <w:szCs w:val="24"/>
        </w:rPr>
        <w:t>nless the Fund instru</w:t>
      </w:r>
      <w:r w:rsidR="00446201" w:rsidRPr="0046657E">
        <w:rPr>
          <w:bCs/>
          <w:color w:val="000000" w:themeColor="text1"/>
          <w:szCs w:val="24"/>
        </w:rPr>
        <w:t xml:space="preserve">cts an </w:t>
      </w:r>
      <w:r w:rsidRPr="0046657E">
        <w:rPr>
          <w:bCs/>
          <w:color w:val="000000" w:themeColor="text1"/>
          <w:szCs w:val="24"/>
        </w:rPr>
        <w:t>exception,</w:t>
      </w:r>
      <w:r w:rsidR="00446201" w:rsidRPr="0046657E">
        <w:rPr>
          <w:bCs/>
          <w:color w:val="000000" w:themeColor="text1"/>
          <w:szCs w:val="24"/>
        </w:rPr>
        <w:t xml:space="preserve"> </w:t>
      </w:r>
      <w:r w:rsidR="0024165C">
        <w:rPr>
          <w:bCs/>
          <w:color w:val="000000" w:themeColor="text1"/>
          <w:szCs w:val="24"/>
        </w:rPr>
        <w:t xml:space="preserve">all </w:t>
      </w:r>
      <w:r w:rsidRPr="0046657E">
        <w:rPr>
          <w:color w:val="000000" w:themeColor="text1"/>
          <w:szCs w:val="24"/>
        </w:rPr>
        <w:t xml:space="preserve">voting is in accordance with </w:t>
      </w:r>
      <w:r w:rsidR="00FA6658" w:rsidRPr="0046657E">
        <w:rPr>
          <w:color w:val="000000" w:themeColor="text1"/>
          <w:szCs w:val="24"/>
        </w:rPr>
        <w:t xml:space="preserve">standing </w:t>
      </w:r>
      <w:r w:rsidRPr="0046657E">
        <w:rPr>
          <w:bCs/>
          <w:color w:val="000000" w:themeColor="text1"/>
          <w:szCs w:val="24"/>
        </w:rPr>
        <w:t xml:space="preserve">guidelines which </w:t>
      </w:r>
      <w:r w:rsidR="00731AC1" w:rsidRPr="0046657E">
        <w:rPr>
          <w:bCs/>
          <w:color w:val="000000" w:themeColor="text1"/>
          <w:szCs w:val="24"/>
        </w:rPr>
        <w:t xml:space="preserve">capture PIRCs </w:t>
      </w:r>
      <w:r w:rsidR="00731AC1" w:rsidRPr="0046657E">
        <w:rPr>
          <w:rFonts w:ascii="Calibri-Bold" w:hAnsi="Calibri-Bold" w:cs="Calibri-Bold"/>
          <w:bCs/>
          <w:color w:val="000000" w:themeColor="text1"/>
          <w:szCs w:val="24"/>
        </w:rPr>
        <w:t>independent judgement o</w:t>
      </w:r>
      <w:r w:rsidR="001E3647" w:rsidRPr="0046657E">
        <w:rPr>
          <w:rFonts w:ascii="Calibri-Bold" w:hAnsi="Calibri-Bold" w:cs="Calibri-Bold"/>
          <w:bCs/>
          <w:color w:val="000000" w:themeColor="text1"/>
          <w:szCs w:val="24"/>
        </w:rPr>
        <w:t>n</w:t>
      </w:r>
      <w:r w:rsidR="00731AC1" w:rsidRPr="0046657E">
        <w:rPr>
          <w:rFonts w:ascii="Calibri-Bold" w:hAnsi="Calibri-Bold" w:cs="Calibri-Bold"/>
          <w:bCs/>
          <w:color w:val="000000" w:themeColor="text1"/>
          <w:szCs w:val="24"/>
        </w:rPr>
        <w:t xml:space="preserve"> what constitutes goo</w:t>
      </w:r>
      <w:r w:rsidR="00076947" w:rsidRPr="0046657E">
        <w:rPr>
          <w:rFonts w:ascii="Calibri-Bold" w:hAnsi="Calibri-Bold" w:cs="Calibri-Bold"/>
          <w:bCs/>
          <w:color w:val="000000" w:themeColor="text1"/>
          <w:szCs w:val="24"/>
        </w:rPr>
        <w:t>d corporate governance practice</w:t>
      </w:r>
      <w:r w:rsidR="0024165C">
        <w:rPr>
          <w:rFonts w:ascii="Calibri-Bold" w:hAnsi="Calibri-Bold" w:cs="Calibri-Bold"/>
          <w:bCs/>
          <w:color w:val="000000" w:themeColor="text1"/>
          <w:szCs w:val="24"/>
        </w:rPr>
        <w:t xml:space="preserve"> </w:t>
      </w:r>
      <w:r w:rsidR="0024165C" w:rsidRPr="0046657E">
        <w:rPr>
          <w:bCs/>
          <w:color w:val="000000" w:themeColor="text1"/>
          <w:szCs w:val="24"/>
        </w:rPr>
        <w:t>(UK Shareholder Voting Guidelines 2015)</w:t>
      </w:r>
      <w:r w:rsidR="009964B0" w:rsidRPr="0046657E">
        <w:rPr>
          <w:rFonts w:ascii="Calibri-Bold" w:hAnsi="Calibri-Bold" w:cs="Calibri-Bold"/>
          <w:bCs/>
          <w:color w:val="000000" w:themeColor="text1"/>
          <w:szCs w:val="24"/>
        </w:rPr>
        <w:t xml:space="preserve">. </w:t>
      </w:r>
    </w:p>
    <w:p w:rsidR="0046657E" w:rsidRPr="0046657E" w:rsidRDefault="0085737C" w:rsidP="0046657E">
      <w:pPr>
        <w:rPr>
          <w:color w:val="000000" w:themeColor="text1"/>
        </w:rPr>
      </w:pPr>
      <w:r>
        <w:rPr>
          <w:color w:val="000000" w:themeColor="text1"/>
        </w:rPr>
        <w:t>PIRC recommend</w:t>
      </w:r>
      <w:r w:rsidR="0046657E" w:rsidRPr="0046657E">
        <w:rPr>
          <w:color w:val="000000" w:themeColor="text1"/>
        </w:rPr>
        <w:t xml:space="preserve"> </w:t>
      </w:r>
      <w:r w:rsidR="005E76D1">
        <w:rPr>
          <w:color w:val="000000" w:themeColor="text1"/>
        </w:rPr>
        <w:t xml:space="preserve">clients do not support </w:t>
      </w:r>
      <w:r w:rsidR="0046657E" w:rsidRPr="0046657E">
        <w:rPr>
          <w:color w:val="000000" w:themeColor="text1"/>
        </w:rPr>
        <w:t>resolutions wh</w:t>
      </w:r>
      <w:r>
        <w:rPr>
          <w:color w:val="000000" w:themeColor="text1"/>
        </w:rPr>
        <w:t xml:space="preserve">ich fall short of </w:t>
      </w:r>
      <w:r w:rsidR="0046657E" w:rsidRPr="0046657E">
        <w:rPr>
          <w:color w:val="000000" w:themeColor="text1"/>
        </w:rPr>
        <w:t>best gove</w:t>
      </w:r>
      <w:r>
        <w:rPr>
          <w:color w:val="000000" w:themeColor="text1"/>
        </w:rPr>
        <w:t xml:space="preserve">rnance practice and </w:t>
      </w:r>
      <w:r w:rsidR="0024165C">
        <w:rPr>
          <w:color w:val="000000" w:themeColor="text1"/>
        </w:rPr>
        <w:t xml:space="preserve">give </w:t>
      </w:r>
      <w:r w:rsidR="0046657E">
        <w:rPr>
          <w:color w:val="000000" w:themeColor="text1"/>
        </w:rPr>
        <w:t>particular</w:t>
      </w:r>
      <w:r w:rsidR="007E36BD">
        <w:rPr>
          <w:color w:val="000000" w:themeColor="text1"/>
        </w:rPr>
        <w:t xml:space="preserve"> </w:t>
      </w:r>
      <w:r w:rsidR="0024165C" w:rsidRPr="0046657E">
        <w:rPr>
          <w:color w:val="000000" w:themeColor="text1"/>
        </w:rPr>
        <w:t>focus</w:t>
      </w:r>
      <w:r w:rsidR="0024165C">
        <w:rPr>
          <w:color w:val="000000" w:themeColor="text1"/>
        </w:rPr>
        <w:t xml:space="preserve"> and </w:t>
      </w:r>
      <w:r w:rsidR="007E36BD">
        <w:rPr>
          <w:color w:val="000000" w:themeColor="text1"/>
        </w:rPr>
        <w:t>attention</w:t>
      </w:r>
      <w:r w:rsidR="0046657E">
        <w:rPr>
          <w:color w:val="000000" w:themeColor="text1"/>
        </w:rPr>
        <w:t xml:space="preserve"> </w:t>
      </w:r>
      <w:r w:rsidR="0024165C">
        <w:rPr>
          <w:color w:val="000000" w:themeColor="text1"/>
        </w:rPr>
        <w:t>to</w:t>
      </w:r>
      <w:r w:rsidR="0046657E" w:rsidRPr="0046657E">
        <w:rPr>
          <w:color w:val="000000" w:themeColor="text1"/>
        </w:rPr>
        <w:t xml:space="preserve"> promoting independent representation on company boards, separating the roles of CEO and Chairman and ensuring remuneration proposals are aligned with shareholders’ interests.</w:t>
      </w:r>
    </w:p>
    <w:p w:rsidR="00FA6658" w:rsidRDefault="00FA6658" w:rsidP="009964B0">
      <w:pPr>
        <w:autoSpaceDE w:val="0"/>
        <w:autoSpaceDN w:val="0"/>
        <w:adjustRightInd w:val="0"/>
        <w:rPr>
          <w:color w:val="000000" w:themeColor="text1"/>
        </w:rPr>
      </w:pPr>
    </w:p>
    <w:p w:rsidR="009964B0" w:rsidRPr="0046657E" w:rsidRDefault="0085737C" w:rsidP="009964B0">
      <w:pPr>
        <w:autoSpaceDE w:val="0"/>
        <w:autoSpaceDN w:val="0"/>
        <w:adjustRightInd w:val="0"/>
        <w:rPr>
          <w:bCs/>
          <w:color w:val="000000" w:themeColor="text1"/>
        </w:rPr>
      </w:pPr>
      <w:r>
        <w:rPr>
          <w:color w:val="000000" w:themeColor="text1"/>
        </w:rPr>
        <w:t xml:space="preserve">PIRC </w:t>
      </w:r>
      <w:r w:rsidR="0024165C">
        <w:rPr>
          <w:color w:val="000000" w:themeColor="text1"/>
        </w:rPr>
        <w:t xml:space="preserve">continually </w:t>
      </w:r>
      <w:r>
        <w:rPr>
          <w:color w:val="000000" w:themeColor="text1"/>
        </w:rPr>
        <w:t>analyse i</w:t>
      </w:r>
      <w:r w:rsidR="00446201" w:rsidRPr="0046657E">
        <w:rPr>
          <w:bCs/>
          <w:color w:val="000000" w:themeColor="text1"/>
        </w:rPr>
        <w:t xml:space="preserve">nvestee companies </w:t>
      </w:r>
      <w:r w:rsidR="009964B0" w:rsidRPr="0046657E">
        <w:rPr>
          <w:bCs/>
          <w:color w:val="000000" w:themeColor="text1"/>
        </w:rPr>
        <w:t>across a range of considerations including</w:t>
      </w:r>
      <w:r w:rsidR="00DB1028">
        <w:rPr>
          <w:bCs/>
          <w:color w:val="000000" w:themeColor="text1"/>
        </w:rPr>
        <w:t>:</w:t>
      </w:r>
      <w:r w:rsidR="009964B0" w:rsidRPr="0046657E">
        <w:rPr>
          <w:bCs/>
          <w:color w:val="000000" w:themeColor="text1"/>
        </w:rPr>
        <w:t xml:space="preserve"> </w:t>
      </w:r>
    </w:p>
    <w:p w:rsidR="009964B0" w:rsidRPr="0046657E" w:rsidRDefault="009964B0" w:rsidP="00D039ED">
      <w:pPr>
        <w:pStyle w:val="ListParagraph"/>
        <w:numPr>
          <w:ilvl w:val="0"/>
          <w:numId w:val="7"/>
        </w:numPr>
        <w:autoSpaceDE w:val="0"/>
        <w:autoSpaceDN w:val="0"/>
        <w:adjustRightInd w:val="0"/>
        <w:rPr>
          <w:bCs/>
          <w:color w:val="000000" w:themeColor="text1"/>
        </w:rPr>
      </w:pPr>
      <w:r w:rsidRPr="0046657E">
        <w:rPr>
          <w:bCs/>
          <w:color w:val="000000" w:themeColor="text1"/>
        </w:rPr>
        <w:t>composition and effectiveness of the board</w:t>
      </w:r>
    </w:p>
    <w:p w:rsidR="009964B0" w:rsidRPr="0046657E" w:rsidRDefault="009964B0" w:rsidP="00D039ED">
      <w:pPr>
        <w:pStyle w:val="ListParagraph"/>
        <w:numPr>
          <w:ilvl w:val="0"/>
          <w:numId w:val="7"/>
        </w:numPr>
        <w:rPr>
          <w:bCs/>
          <w:color w:val="000000" w:themeColor="text1"/>
        </w:rPr>
      </w:pPr>
      <w:r w:rsidRPr="0046657E">
        <w:rPr>
          <w:bCs/>
          <w:color w:val="000000" w:themeColor="text1"/>
        </w:rPr>
        <w:t>quality of stewardship</w:t>
      </w:r>
      <w:r w:rsidR="00D039ED" w:rsidRPr="0046657E">
        <w:rPr>
          <w:bCs/>
          <w:color w:val="000000" w:themeColor="text1"/>
        </w:rPr>
        <w:t xml:space="preserve"> including protection of shareholder interests</w:t>
      </w:r>
    </w:p>
    <w:p w:rsidR="009964B0" w:rsidRPr="0046657E" w:rsidRDefault="009964B0" w:rsidP="00D039ED">
      <w:pPr>
        <w:pStyle w:val="ListParagraph"/>
        <w:numPr>
          <w:ilvl w:val="0"/>
          <w:numId w:val="7"/>
        </w:numPr>
        <w:autoSpaceDE w:val="0"/>
        <w:autoSpaceDN w:val="0"/>
        <w:adjustRightInd w:val="0"/>
        <w:rPr>
          <w:rFonts w:cs="Arial"/>
          <w:bCs/>
          <w:color w:val="000000" w:themeColor="text1"/>
          <w:szCs w:val="24"/>
        </w:rPr>
      </w:pPr>
      <w:r w:rsidRPr="0046657E">
        <w:rPr>
          <w:rFonts w:cs="Arial"/>
          <w:bCs/>
          <w:color w:val="000000" w:themeColor="text1"/>
          <w:szCs w:val="24"/>
        </w:rPr>
        <w:t>sufficiency of risk management and financial control</w:t>
      </w:r>
      <w:r w:rsidR="00D039ED" w:rsidRPr="0046657E">
        <w:rPr>
          <w:rFonts w:cs="Arial"/>
          <w:bCs/>
          <w:color w:val="000000" w:themeColor="text1"/>
          <w:szCs w:val="24"/>
        </w:rPr>
        <w:t>s</w:t>
      </w:r>
      <w:r w:rsidRPr="0046657E">
        <w:rPr>
          <w:rFonts w:cs="Arial"/>
          <w:bCs/>
          <w:color w:val="000000" w:themeColor="text1"/>
          <w:szCs w:val="24"/>
        </w:rPr>
        <w:t xml:space="preserve"> </w:t>
      </w:r>
    </w:p>
    <w:p w:rsidR="009964B0" w:rsidRPr="0046657E" w:rsidRDefault="009964B0" w:rsidP="00D039ED">
      <w:pPr>
        <w:pStyle w:val="ListParagraph"/>
        <w:numPr>
          <w:ilvl w:val="0"/>
          <w:numId w:val="7"/>
        </w:numPr>
        <w:autoSpaceDE w:val="0"/>
        <w:autoSpaceDN w:val="0"/>
        <w:adjustRightInd w:val="0"/>
        <w:rPr>
          <w:rFonts w:cs="Arial"/>
          <w:bCs/>
          <w:color w:val="000000" w:themeColor="text1"/>
          <w:szCs w:val="24"/>
        </w:rPr>
      </w:pPr>
      <w:r w:rsidRPr="0046657E">
        <w:rPr>
          <w:rFonts w:cs="Arial"/>
          <w:bCs/>
          <w:color w:val="000000" w:themeColor="text1"/>
          <w:szCs w:val="24"/>
        </w:rPr>
        <w:t>accurate and compliant reporting and accounting practices</w:t>
      </w:r>
    </w:p>
    <w:p w:rsidR="009964B0" w:rsidRPr="0046657E" w:rsidRDefault="009964B0" w:rsidP="00D039ED">
      <w:pPr>
        <w:pStyle w:val="ListParagraph"/>
        <w:numPr>
          <w:ilvl w:val="0"/>
          <w:numId w:val="7"/>
        </w:numPr>
        <w:rPr>
          <w:bCs/>
          <w:color w:val="000000" w:themeColor="text1"/>
        </w:rPr>
      </w:pPr>
      <w:r w:rsidRPr="0046657E">
        <w:rPr>
          <w:bCs/>
          <w:color w:val="000000" w:themeColor="text1"/>
        </w:rPr>
        <w:t>adequacy of enviro</w:t>
      </w:r>
      <w:r w:rsidR="008549CD">
        <w:rPr>
          <w:bCs/>
          <w:color w:val="000000" w:themeColor="text1"/>
        </w:rPr>
        <w:t>nmental</w:t>
      </w:r>
      <w:r w:rsidR="00C9631E">
        <w:rPr>
          <w:bCs/>
          <w:color w:val="000000" w:themeColor="text1"/>
        </w:rPr>
        <w:t>, sustainability</w:t>
      </w:r>
      <w:r w:rsidR="008549CD">
        <w:rPr>
          <w:bCs/>
          <w:color w:val="000000" w:themeColor="text1"/>
        </w:rPr>
        <w:t xml:space="preserve"> and employment policies</w:t>
      </w:r>
    </w:p>
    <w:p w:rsidR="009964B0" w:rsidRPr="0046657E" w:rsidRDefault="00D039ED" w:rsidP="00D039ED">
      <w:pPr>
        <w:pStyle w:val="ListParagraph"/>
        <w:numPr>
          <w:ilvl w:val="0"/>
          <w:numId w:val="7"/>
        </w:numPr>
        <w:rPr>
          <w:bCs/>
          <w:color w:val="000000" w:themeColor="text1"/>
        </w:rPr>
      </w:pPr>
      <w:r w:rsidRPr="0046657E">
        <w:rPr>
          <w:bCs/>
          <w:color w:val="000000" w:themeColor="text1"/>
        </w:rPr>
        <w:t xml:space="preserve">disclosure of </w:t>
      </w:r>
      <w:r w:rsidR="009964B0" w:rsidRPr="0046657E">
        <w:rPr>
          <w:bCs/>
          <w:color w:val="000000" w:themeColor="text1"/>
        </w:rPr>
        <w:t>quantifiable enviro</w:t>
      </w:r>
      <w:r w:rsidR="008549CD">
        <w:rPr>
          <w:bCs/>
          <w:color w:val="000000" w:themeColor="text1"/>
        </w:rPr>
        <w:t>nmental reporting</w:t>
      </w:r>
    </w:p>
    <w:p w:rsidR="00D97286" w:rsidRDefault="00D97286" w:rsidP="00D039ED">
      <w:pPr>
        <w:autoSpaceDE w:val="0"/>
        <w:autoSpaceDN w:val="0"/>
        <w:adjustRightInd w:val="0"/>
        <w:rPr>
          <w:bCs/>
          <w:color w:val="000000" w:themeColor="text1"/>
        </w:rPr>
      </w:pPr>
    </w:p>
    <w:p w:rsidR="00D039ED" w:rsidRPr="0046657E" w:rsidRDefault="008549CD" w:rsidP="00D039ED">
      <w:pPr>
        <w:autoSpaceDE w:val="0"/>
        <w:autoSpaceDN w:val="0"/>
        <w:adjustRightInd w:val="0"/>
        <w:rPr>
          <w:bCs/>
          <w:color w:val="000000" w:themeColor="text1"/>
        </w:rPr>
      </w:pPr>
      <w:r>
        <w:rPr>
          <w:bCs/>
          <w:color w:val="000000" w:themeColor="text1"/>
        </w:rPr>
        <w:t>and</w:t>
      </w:r>
      <w:r w:rsidR="00C9631E">
        <w:rPr>
          <w:bCs/>
          <w:color w:val="000000" w:themeColor="text1"/>
        </w:rPr>
        <w:t xml:space="preserve"> issue </w:t>
      </w:r>
      <w:r w:rsidR="00BB0369" w:rsidRPr="0046657E">
        <w:rPr>
          <w:bCs/>
          <w:color w:val="000000" w:themeColor="text1"/>
        </w:rPr>
        <w:t xml:space="preserve">voting </w:t>
      </w:r>
      <w:r w:rsidR="00F22928" w:rsidRPr="0046657E">
        <w:rPr>
          <w:bCs/>
          <w:color w:val="000000" w:themeColor="text1"/>
        </w:rPr>
        <w:t xml:space="preserve">recommendations </w:t>
      </w:r>
      <w:r w:rsidR="0046657E">
        <w:rPr>
          <w:bCs/>
          <w:color w:val="000000" w:themeColor="text1"/>
        </w:rPr>
        <w:t xml:space="preserve">intended </w:t>
      </w:r>
      <w:r w:rsidR="00F22928" w:rsidRPr="0046657E">
        <w:rPr>
          <w:bCs/>
          <w:color w:val="000000" w:themeColor="text1"/>
        </w:rPr>
        <w:t xml:space="preserve">to encourage companies to adhere to high standards of </w:t>
      </w:r>
      <w:r w:rsidR="00837DFA" w:rsidRPr="0046657E">
        <w:rPr>
          <w:bCs/>
          <w:color w:val="000000" w:themeColor="text1"/>
        </w:rPr>
        <w:t xml:space="preserve">corporate </w:t>
      </w:r>
      <w:r w:rsidR="00F22928" w:rsidRPr="0046657E">
        <w:rPr>
          <w:bCs/>
          <w:color w:val="000000" w:themeColor="text1"/>
        </w:rPr>
        <w:t>governance and social responsibility.</w:t>
      </w:r>
      <w:r>
        <w:rPr>
          <w:bCs/>
          <w:color w:val="000000" w:themeColor="text1"/>
        </w:rPr>
        <w:t xml:space="preserve"> </w:t>
      </w:r>
      <w:r w:rsidRPr="00384FC5">
        <w:rPr>
          <w:bCs/>
          <w:color w:val="000000" w:themeColor="text1"/>
        </w:rPr>
        <w:t xml:space="preserve">If the Fund so wishes, it can instruct PIRC to cast a vote which does not follow </w:t>
      </w:r>
      <w:r w:rsidR="005E76D1">
        <w:rPr>
          <w:bCs/>
          <w:color w:val="000000" w:themeColor="text1"/>
        </w:rPr>
        <w:t>the PIRC</w:t>
      </w:r>
      <w:r w:rsidRPr="00384FC5">
        <w:rPr>
          <w:bCs/>
          <w:color w:val="000000" w:themeColor="text1"/>
        </w:rPr>
        <w:t xml:space="preserve"> recommendation.</w:t>
      </w:r>
    </w:p>
    <w:p w:rsidR="008549CD" w:rsidRDefault="008549CD" w:rsidP="005C6B87">
      <w:pPr>
        <w:widowControl w:val="0"/>
        <w:outlineLvl w:val="0"/>
        <w:rPr>
          <w:bCs/>
          <w:color w:val="000000" w:themeColor="text1"/>
        </w:rPr>
      </w:pPr>
    </w:p>
    <w:p w:rsidR="006F00EF" w:rsidRDefault="0046657E" w:rsidP="005C6B87">
      <w:pPr>
        <w:widowControl w:val="0"/>
        <w:outlineLvl w:val="0"/>
        <w:rPr>
          <w:bCs/>
          <w:color w:val="000000" w:themeColor="text1"/>
        </w:rPr>
      </w:pPr>
      <w:r w:rsidRPr="00384FC5">
        <w:rPr>
          <w:bCs/>
          <w:color w:val="000000" w:themeColor="text1"/>
        </w:rPr>
        <w:lastRenderedPageBreak/>
        <w:t>Q</w:t>
      </w:r>
      <w:r w:rsidR="005C6B87" w:rsidRPr="00384FC5">
        <w:rPr>
          <w:bCs/>
          <w:color w:val="000000" w:themeColor="text1"/>
        </w:rPr>
        <w:t>uarterly report</w:t>
      </w:r>
      <w:r w:rsidRPr="00384FC5">
        <w:rPr>
          <w:bCs/>
          <w:color w:val="000000" w:themeColor="text1"/>
        </w:rPr>
        <w:t xml:space="preserve">s </w:t>
      </w:r>
      <w:r w:rsidR="007E36BD">
        <w:rPr>
          <w:bCs/>
          <w:color w:val="000000" w:themeColor="text1"/>
        </w:rPr>
        <w:t xml:space="preserve">are received </w:t>
      </w:r>
      <w:r w:rsidR="00C6463B">
        <w:rPr>
          <w:bCs/>
          <w:color w:val="000000" w:themeColor="text1"/>
        </w:rPr>
        <w:t xml:space="preserve">from PIRC </w:t>
      </w:r>
      <w:r w:rsidR="007E36BD">
        <w:rPr>
          <w:bCs/>
          <w:color w:val="000000" w:themeColor="text1"/>
        </w:rPr>
        <w:t xml:space="preserve">which </w:t>
      </w:r>
      <w:r w:rsidR="005C6B87" w:rsidRPr="00384FC5">
        <w:rPr>
          <w:bCs/>
          <w:color w:val="000000" w:themeColor="text1"/>
        </w:rPr>
        <w:t xml:space="preserve">provide a </w:t>
      </w:r>
      <w:r w:rsidR="00BF3A91">
        <w:rPr>
          <w:bCs/>
          <w:color w:val="000000" w:themeColor="text1"/>
        </w:rPr>
        <w:t xml:space="preserve">retrospective </w:t>
      </w:r>
      <w:r w:rsidR="005C6B87" w:rsidRPr="00384FC5">
        <w:rPr>
          <w:bCs/>
          <w:color w:val="000000" w:themeColor="text1"/>
        </w:rPr>
        <w:t xml:space="preserve">summary </w:t>
      </w:r>
      <w:r w:rsidR="006F00EF" w:rsidRPr="00384FC5">
        <w:rPr>
          <w:bCs/>
          <w:color w:val="000000" w:themeColor="text1"/>
        </w:rPr>
        <w:t>of votes cast on beha</w:t>
      </w:r>
      <w:r w:rsidR="008549CD">
        <w:rPr>
          <w:bCs/>
          <w:color w:val="000000" w:themeColor="text1"/>
        </w:rPr>
        <w:t>lf of the Fund</w:t>
      </w:r>
      <w:r w:rsidR="00BF3A91">
        <w:rPr>
          <w:bCs/>
          <w:color w:val="000000" w:themeColor="text1"/>
        </w:rPr>
        <w:t xml:space="preserve">. The most recent quarterly report </w:t>
      </w:r>
      <w:r w:rsidR="00C9631E">
        <w:rPr>
          <w:bCs/>
          <w:color w:val="000000" w:themeColor="text1"/>
        </w:rPr>
        <w:t xml:space="preserve">is attached at Appendix A and </w:t>
      </w:r>
      <w:r w:rsidR="00BF3A91">
        <w:rPr>
          <w:bCs/>
          <w:color w:val="000000" w:themeColor="text1"/>
        </w:rPr>
        <w:t xml:space="preserve">covers the period from </w:t>
      </w:r>
      <w:r w:rsidR="00BF3A91" w:rsidRPr="00384FC5">
        <w:rPr>
          <w:bCs/>
          <w:color w:val="000000" w:themeColor="text1"/>
        </w:rPr>
        <w:t>1 January to 31 March 2015</w:t>
      </w:r>
      <w:r w:rsidR="00FA6658" w:rsidRPr="00384FC5">
        <w:rPr>
          <w:bCs/>
          <w:color w:val="000000" w:themeColor="text1"/>
        </w:rPr>
        <w:t>.</w:t>
      </w:r>
      <w:r w:rsidR="008A3AF2" w:rsidRPr="00384FC5">
        <w:rPr>
          <w:bCs/>
          <w:color w:val="000000" w:themeColor="text1"/>
        </w:rPr>
        <w:t xml:space="preserve"> </w:t>
      </w:r>
      <w:r w:rsidR="00BF3A91">
        <w:rPr>
          <w:bCs/>
          <w:color w:val="000000" w:themeColor="text1"/>
        </w:rPr>
        <w:t xml:space="preserve">An extract showing the geographical coverage of </w:t>
      </w:r>
      <w:r w:rsidR="008A3AF2" w:rsidRPr="00384FC5">
        <w:rPr>
          <w:bCs/>
          <w:color w:val="000000" w:themeColor="text1"/>
        </w:rPr>
        <w:t>vot</w:t>
      </w:r>
      <w:r w:rsidR="00B00D16">
        <w:rPr>
          <w:bCs/>
          <w:color w:val="000000" w:themeColor="text1"/>
        </w:rPr>
        <w:t>ing</w:t>
      </w:r>
      <w:r w:rsidR="008A3AF2" w:rsidRPr="00384FC5">
        <w:rPr>
          <w:bCs/>
          <w:color w:val="000000" w:themeColor="text1"/>
        </w:rPr>
        <w:t xml:space="preserve"> </w:t>
      </w:r>
      <w:r w:rsidR="0024165C">
        <w:rPr>
          <w:bCs/>
          <w:color w:val="000000" w:themeColor="text1"/>
        </w:rPr>
        <w:t xml:space="preserve">activity </w:t>
      </w:r>
      <w:r w:rsidR="008A3AF2" w:rsidRPr="00384FC5">
        <w:rPr>
          <w:bCs/>
          <w:color w:val="000000" w:themeColor="text1"/>
        </w:rPr>
        <w:t xml:space="preserve">in the period </w:t>
      </w:r>
      <w:r w:rsidR="006F00EF" w:rsidRPr="00384FC5">
        <w:rPr>
          <w:bCs/>
          <w:color w:val="000000" w:themeColor="text1"/>
        </w:rPr>
        <w:t xml:space="preserve">is </w:t>
      </w:r>
      <w:r w:rsidR="00F50A63">
        <w:rPr>
          <w:bCs/>
          <w:color w:val="000000" w:themeColor="text1"/>
        </w:rPr>
        <w:t>provid</w:t>
      </w:r>
      <w:r w:rsidR="006F00EF" w:rsidRPr="00384FC5">
        <w:rPr>
          <w:bCs/>
          <w:color w:val="000000" w:themeColor="text1"/>
        </w:rPr>
        <w:t>ed below:</w:t>
      </w:r>
    </w:p>
    <w:p w:rsidR="00B058C3" w:rsidRDefault="00B058C3" w:rsidP="005C6B87">
      <w:pPr>
        <w:widowControl w:val="0"/>
        <w:outlineLvl w:val="0"/>
        <w:rPr>
          <w:bCs/>
          <w:color w:val="000000" w:themeColor="text1"/>
          <w:u w:val="single"/>
        </w:rPr>
      </w:pPr>
    </w:p>
    <w:p w:rsidR="00A55FDC" w:rsidRPr="00CA1DD7" w:rsidRDefault="00A55FDC" w:rsidP="005C6B87">
      <w:pPr>
        <w:widowControl w:val="0"/>
        <w:outlineLvl w:val="0"/>
        <w:rPr>
          <w:bCs/>
          <w:color w:val="000000" w:themeColor="text1"/>
          <w:u w:val="single"/>
        </w:rPr>
      </w:pPr>
      <w:r w:rsidRPr="00A55FDC">
        <w:rPr>
          <w:bCs/>
          <w:color w:val="000000" w:themeColor="text1"/>
          <w:u w:val="single"/>
        </w:rPr>
        <w:t>Number of Votes by Region</w:t>
      </w:r>
    </w:p>
    <w:tbl>
      <w:tblPr>
        <w:tblW w:w="8307" w:type="dxa"/>
        <w:tblLook w:val="04A0" w:firstRow="1" w:lastRow="0" w:firstColumn="1" w:lastColumn="0" w:noHBand="0" w:noVBand="1"/>
      </w:tblPr>
      <w:tblGrid>
        <w:gridCol w:w="3085"/>
        <w:gridCol w:w="851"/>
        <w:gridCol w:w="817"/>
        <w:gridCol w:w="993"/>
        <w:gridCol w:w="992"/>
        <w:gridCol w:w="992"/>
        <w:gridCol w:w="851"/>
      </w:tblGrid>
      <w:tr w:rsidR="00C9631E" w:rsidRPr="00A55FDC" w:rsidTr="00CA1DD7">
        <w:trPr>
          <w:trHeight w:val="315"/>
        </w:trPr>
        <w:tc>
          <w:tcPr>
            <w:tcW w:w="3085" w:type="dxa"/>
            <w:tcBorders>
              <w:top w:val="nil"/>
              <w:left w:val="nil"/>
              <w:bottom w:val="nil"/>
              <w:right w:val="nil"/>
            </w:tcBorders>
            <w:shd w:val="clear" w:color="auto" w:fill="auto"/>
            <w:noWrap/>
            <w:vAlign w:val="bottom"/>
            <w:hideMark/>
          </w:tcPr>
          <w:p w:rsidR="00C9631E" w:rsidRPr="00A55FDC" w:rsidRDefault="00C9631E" w:rsidP="00A55FDC">
            <w:pPr>
              <w:rPr>
                <w:rFonts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For</w:t>
            </w:r>
          </w:p>
        </w:tc>
        <w:tc>
          <w:tcPr>
            <w:tcW w:w="543" w:type="dxa"/>
            <w:tcBorders>
              <w:top w:val="single" w:sz="4" w:space="0" w:color="auto"/>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Abstain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Oppose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Non-Voting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Withhold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Total</w:t>
            </w:r>
          </w:p>
        </w:tc>
      </w:tr>
      <w:tr w:rsidR="00C9631E" w:rsidRPr="00A55FDC" w:rsidTr="00CA1DD7">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rPr>
                <w:rFonts w:cs="Arial"/>
                <w:color w:val="000000"/>
                <w:sz w:val="18"/>
                <w:szCs w:val="18"/>
              </w:rPr>
            </w:pPr>
            <w:r w:rsidRPr="00A55FDC">
              <w:rPr>
                <w:rFonts w:cs="Arial"/>
                <w:color w:val="000000"/>
                <w:sz w:val="18"/>
                <w:szCs w:val="18"/>
              </w:rPr>
              <w:t>UK &amp; BRITISH OVERSEAS</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32</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38</w:t>
            </w:r>
          </w:p>
        </w:tc>
      </w:tr>
      <w:tr w:rsidR="00C9631E" w:rsidRPr="00A55FDC" w:rsidTr="00CA1DD7">
        <w:trPr>
          <w:trHeight w:val="315"/>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rPr>
                <w:rFonts w:cs="Arial"/>
                <w:color w:val="000000"/>
                <w:sz w:val="18"/>
                <w:szCs w:val="18"/>
              </w:rPr>
            </w:pPr>
            <w:r w:rsidRPr="00A55FDC">
              <w:rPr>
                <w:rFonts w:cs="Arial"/>
                <w:color w:val="000000"/>
                <w:sz w:val="18"/>
                <w:szCs w:val="18"/>
              </w:rPr>
              <w:t>EUROPE &amp; GLOBAL EU</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103</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24</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38</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185</w:t>
            </w:r>
          </w:p>
        </w:tc>
      </w:tr>
      <w:tr w:rsidR="00C9631E" w:rsidRPr="00A55FDC" w:rsidTr="00CA1DD7">
        <w:trPr>
          <w:trHeight w:val="30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rPr>
                <w:rFonts w:cs="Arial"/>
                <w:color w:val="000000"/>
                <w:sz w:val="18"/>
                <w:szCs w:val="18"/>
              </w:rPr>
            </w:pPr>
            <w:r w:rsidRPr="00A55FDC">
              <w:rPr>
                <w:rFonts w:cs="Arial"/>
                <w:color w:val="000000"/>
                <w:sz w:val="18"/>
                <w:szCs w:val="18"/>
              </w:rPr>
              <w:t>USA &amp; CANADA</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124</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12</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34</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189</w:t>
            </w:r>
          </w:p>
        </w:tc>
      </w:tr>
      <w:tr w:rsidR="00C9631E" w:rsidRPr="00A55FDC" w:rsidTr="00CA1DD7">
        <w:trPr>
          <w:trHeight w:val="279"/>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rPr>
                <w:rFonts w:cs="Arial"/>
                <w:color w:val="000000"/>
                <w:sz w:val="18"/>
                <w:szCs w:val="18"/>
              </w:rPr>
            </w:pPr>
            <w:r w:rsidRPr="00A55FDC">
              <w:rPr>
                <w:rFonts w:cs="Arial"/>
                <w:color w:val="000000"/>
                <w:sz w:val="18"/>
                <w:szCs w:val="18"/>
              </w:rPr>
              <w:t>ASIA</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16</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16</w:t>
            </w:r>
          </w:p>
        </w:tc>
      </w:tr>
      <w:tr w:rsidR="00C9631E" w:rsidRPr="00A55FDC" w:rsidTr="00CA1DD7">
        <w:trPr>
          <w:trHeight w:val="269"/>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rPr>
                <w:rFonts w:cs="Arial"/>
                <w:color w:val="000000"/>
                <w:sz w:val="18"/>
                <w:szCs w:val="18"/>
              </w:rPr>
            </w:pPr>
            <w:r w:rsidRPr="00A55FDC">
              <w:rPr>
                <w:rFonts w:cs="Arial"/>
                <w:color w:val="000000"/>
                <w:sz w:val="18"/>
                <w:szCs w:val="18"/>
              </w:rPr>
              <w:t>JAPAN</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6</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8</w:t>
            </w:r>
          </w:p>
        </w:tc>
      </w:tr>
      <w:tr w:rsidR="00C9631E" w:rsidRPr="00A55FDC" w:rsidTr="00CA1DD7">
        <w:trPr>
          <w:trHeight w:val="315"/>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rPr>
                <w:rFonts w:cs="Arial"/>
                <w:color w:val="000000"/>
                <w:sz w:val="18"/>
                <w:szCs w:val="18"/>
              </w:rPr>
            </w:pPr>
            <w:r w:rsidRPr="00A55FDC">
              <w:rPr>
                <w:rFonts w:cs="Arial"/>
                <w:color w:val="000000"/>
                <w:sz w:val="18"/>
                <w:szCs w:val="18"/>
              </w:rPr>
              <w:t>SOUTH AMERICA</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5</w:t>
            </w:r>
          </w:p>
        </w:tc>
      </w:tr>
      <w:tr w:rsidR="00C9631E" w:rsidRPr="00A55FDC" w:rsidTr="00CA1DD7">
        <w:trPr>
          <w:trHeight w:val="315"/>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rPr>
                <w:rFonts w:cs="Arial"/>
                <w:b/>
                <w:color w:val="000000"/>
                <w:sz w:val="18"/>
                <w:szCs w:val="18"/>
              </w:rPr>
            </w:pPr>
            <w:r w:rsidRPr="00A55FDC">
              <w:rPr>
                <w:rFonts w:cs="Arial"/>
                <w:b/>
                <w:color w:val="000000"/>
                <w:sz w:val="18"/>
                <w:szCs w:val="18"/>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b/>
                <w:color w:val="000000"/>
                <w:sz w:val="18"/>
                <w:szCs w:val="18"/>
              </w:rPr>
            </w:pPr>
            <w:r w:rsidRPr="00A55FDC">
              <w:rPr>
                <w:rFonts w:cs="Arial"/>
                <w:b/>
                <w:color w:val="000000"/>
                <w:sz w:val="18"/>
                <w:szCs w:val="18"/>
              </w:rPr>
              <w:t>284</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b/>
                <w:color w:val="000000"/>
                <w:sz w:val="18"/>
                <w:szCs w:val="18"/>
              </w:rPr>
            </w:pPr>
            <w:r w:rsidRPr="00A55FDC">
              <w:rPr>
                <w:rFonts w:cs="Arial"/>
                <w:b/>
                <w:color w:val="000000"/>
                <w:sz w:val="18"/>
                <w:szCs w:val="18"/>
              </w:rPr>
              <w:t>40</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b/>
                <w:color w:val="000000"/>
                <w:sz w:val="18"/>
                <w:szCs w:val="18"/>
              </w:rPr>
            </w:pPr>
            <w:r w:rsidRPr="00A55FDC">
              <w:rPr>
                <w:rFonts w:cs="Arial"/>
                <w:b/>
                <w:color w:val="000000"/>
                <w:sz w:val="18"/>
                <w:szCs w:val="18"/>
              </w:rPr>
              <w:t>78</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b/>
                <w:color w:val="000000"/>
                <w:sz w:val="18"/>
                <w:szCs w:val="18"/>
              </w:rPr>
            </w:pPr>
            <w:r w:rsidRPr="00A55FDC">
              <w:rPr>
                <w:rFonts w:cs="Arial"/>
                <w:b/>
                <w:color w:val="000000"/>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b/>
                <w:color w:val="000000"/>
                <w:sz w:val="18"/>
                <w:szCs w:val="18"/>
              </w:rPr>
            </w:pPr>
            <w:r w:rsidRPr="00A55FDC">
              <w:rPr>
                <w:rFonts w:cs="Arial"/>
                <w:b/>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b/>
                <w:color w:val="000000"/>
                <w:sz w:val="18"/>
                <w:szCs w:val="18"/>
              </w:rPr>
            </w:pPr>
            <w:r w:rsidRPr="00A55FDC">
              <w:rPr>
                <w:rFonts w:cs="Arial"/>
                <w:b/>
                <w:color w:val="000000"/>
                <w:sz w:val="18"/>
                <w:szCs w:val="18"/>
              </w:rPr>
              <w:t>441</w:t>
            </w:r>
          </w:p>
        </w:tc>
      </w:tr>
      <w:tr w:rsidR="00C9631E" w:rsidRPr="00A55FDC" w:rsidTr="00CA1DD7">
        <w:trPr>
          <w:trHeight w:val="315"/>
        </w:trPr>
        <w:tc>
          <w:tcPr>
            <w:tcW w:w="3085" w:type="dxa"/>
            <w:tcBorders>
              <w:top w:val="nil"/>
              <w:left w:val="nil"/>
              <w:bottom w:val="nil"/>
              <w:right w:val="nil"/>
            </w:tcBorders>
            <w:shd w:val="clear" w:color="auto" w:fill="auto"/>
            <w:noWrap/>
            <w:vAlign w:val="bottom"/>
            <w:hideMark/>
          </w:tcPr>
          <w:p w:rsidR="00C9631E" w:rsidRPr="00A55FDC" w:rsidRDefault="00C9631E" w:rsidP="00A55FDC">
            <w:pPr>
              <w:jc w:val="center"/>
              <w:rPr>
                <w:rFonts w:cs="Arial"/>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64%</w:t>
            </w:r>
          </w:p>
        </w:tc>
        <w:tc>
          <w:tcPr>
            <w:tcW w:w="54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9%</w:t>
            </w:r>
          </w:p>
        </w:tc>
        <w:tc>
          <w:tcPr>
            <w:tcW w:w="993"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18%</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jc w:val="center"/>
              <w:rPr>
                <w:rFonts w:cs="Arial"/>
                <w:color w:val="000000"/>
                <w:sz w:val="18"/>
                <w:szCs w:val="18"/>
              </w:rPr>
            </w:pPr>
            <w:r w:rsidRPr="00A55FDC">
              <w:rPr>
                <w:rFonts w:cs="Arial"/>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C9631E" w:rsidRPr="00A55FDC" w:rsidRDefault="00C9631E" w:rsidP="00A55FDC">
            <w:pPr>
              <w:ind w:right="93"/>
              <w:jc w:val="center"/>
              <w:rPr>
                <w:rFonts w:cs="Arial"/>
                <w:color w:val="000000"/>
                <w:sz w:val="18"/>
                <w:szCs w:val="18"/>
              </w:rPr>
            </w:pPr>
            <w:r w:rsidRPr="00A55FDC">
              <w:rPr>
                <w:rFonts w:cs="Arial"/>
                <w:color w:val="000000"/>
                <w:sz w:val="18"/>
                <w:szCs w:val="18"/>
              </w:rPr>
              <w:t>100%</w:t>
            </w:r>
          </w:p>
        </w:tc>
      </w:tr>
    </w:tbl>
    <w:p w:rsidR="00837DFA" w:rsidRPr="00384FC5" w:rsidRDefault="00837DFA" w:rsidP="005C6B87">
      <w:pPr>
        <w:widowControl w:val="0"/>
        <w:outlineLvl w:val="0"/>
        <w:rPr>
          <w:bCs/>
          <w:color w:val="000000" w:themeColor="text1"/>
        </w:rPr>
      </w:pPr>
    </w:p>
    <w:p w:rsidR="008614CE" w:rsidRPr="00792A18" w:rsidRDefault="008614CE" w:rsidP="003834D5">
      <w:pPr>
        <w:autoSpaceDE w:val="0"/>
        <w:autoSpaceDN w:val="0"/>
        <w:adjustRightInd w:val="0"/>
        <w:rPr>
          <w:bCs/>
          <w:color w:val="000000" w:themeColor="text1"/>
        </w:rPr>
      </w:pPr>
      <w:r w:rsidRPr="00792A18">
        <w:rPr>
          <w:bCs/>
          <w:color w:val="000000" w:themeColor="text1"/>
        </w:rPr>
        <w:t xml:space="preserve">The Fund was party to </w:t>
      </w:r>
      <w:r w:rsidR="00837DFA" w:rsidRPr="00792A18">
        <w:rPr>
          <w:bCs/>
          <w:color w:val="000000" w:themeColor="text1"/>
        </w:rPr>
        <w:t>441</w:t>
      </w:r>
      <w:r w:rsidRPr="00792A18">
        <w:rPr>
          <w:bCs/>
          <w:color w:val="000000" w:themeColor="text1"/>
        </w:rPr>
        <w:t xml:space="preserve"> resolutions during th</w:t>
      </w:r>
      <w:r w:rsidR="008A3AF2">
        <w:rPr>
          <w:bCs/>
          <w:color w:val="000000" w:themeColor="text1"/>
        </w:rPr>
        <w:t>e</w:t>
      </w:r>
      <w:r w:rsidRPr="00792A18">
        <w:rPr>
          <w:bCs/>
          <w:color w:val="000000" w:themeColor="text1"/>
        </w:rPr>
        <w:t xml:space="preserve"> period, of which </w:t>
      </w:r>
      <w:r w:rsidR="00837DFA" w:rsidRPr="00792A18">
        <w:rPr>
          <w:bCs/>
          <w:color w:val="000000" w:themeColor="text1"/>
        </w:rPr>
        <w:t>284</w:t>
      </w:r>
      <w:r w:rsidR="007D0AFE" w:rsidRPr="00792A18">
        <w:rPr>
          <w:bCs/>
          <w:color w:val="000000" w:themeColor="text1"/>
        </w:rPr>
        <w:t xml:space="preserve"> </w:t>
      </w:r>
      <w:r w:rsidR="003834D5">
        <w:rPr>
          <w:bCs/>
          <w:color w:val="000000" w:themeColor="text1"/>
        </w:rPr>
        <w:t xml:space="preserve">votes </w:t>
      </w:r>
      <w:r w:rsidR="007D0AFE" w:rsidRPr="00792A18">
        <w:rPr>
          <w:bCs/>
          <w:color w:val="000000" w:themeColor="text1"/>
        </w:rPr>
        <w:t>(</w:t>
      </w:r>
      <w:r w:rsidR="00CF7C3C" w:rsidRPr="00792A18">
        <w:rPr>
          <w:bCs/>
          <w:color w:val="000000" w:themeColor="text1"/>
        </w:rPr>
        <w:t>64</w:t>
      </w:r>
      <w:r w:rsidRPr="00792A18">
        <w:rPr>
          <w:bCs/>
          <w:color w:val="000000" w:themeColor="text1"/>
        </w:rPr>
        <w:t>%</w:t>
      </w:r>
      <w:r w:rsidR="00837DFA" w:rsidRPr="00792A18">
        <w:rPr>
          <w:bCs/>
          <w:color w:val="000000" w:themeColor="text1"/>
        </w:rPr>
        <w:t>)</w:t>
      </w:r>
      <w:r w:rsidRPr="00792A18">
        <w:rPr>
          <w:bCs/>
          <w:color w:val="000000" w:themeColor="text1"/>
        </w:rPr>
        <w:t xml:space="preserve"> </w:t>
      </w:r>
      <w:r w:rsidR="00837DFA" w:rsidRPr="00792A18">
        <w:rPr>
          <w:bCs/>
          <w:color w:val="000000" w:themeColor="text1"/>
        </w:rPr>
        <w:t>support</w:t>
      </w:r>
      <w:r w:rsidR="00CF7C3C" w:rsidRPr="00792A18">
        <w:rPr>
          <w:bCs/>
          <w:color w:val="000000" w:themeColor="text1"/>
        </w:rPr>
        <w:t xml:space="preserve">ed shareholder resolutions and </w:t>
      </w:r>
      <w:r w:rsidR="00FA6658">
        <w:rPr>
          <w:bCs/>
          <w:color w:val="000000" w:themeColor="text1"/>
        </w:rPr>
        <w:t>118 (</w:t>
      </w:r>
      <w:r w:rsidR="00384FC5">
        <w:rPr>
          <w:bCs/>
          <w:color w:val="000000" w:themeColor="text1"/>
        </w:rPr>
        <w:t>27</w:t>
      </w:r>
      <w:r w:rsidRPr="00792A18">
        <w:rPr>
          <w:bCs/>
          <w:color w:val="000000" w:themeColor="text1"/>
        </w:rPr>
        <w:t>%</w:t>
      </w:r>
      <w:r w:rsidR="00FA6658">
        <w:rPr>
          <w:bCs/>
          <w:color w:val="000000" w:themeColor="text1"/>
        </w:rPr>
        <w:t>)</w:t>
      </w:r>
      <w:r w:rsidRPr="00792A18">
        <w:rPr>
          <w:bCs/>
          <w:color w:val="000000" w:themeColor="text1"/>
        </w:rPr>
        <w:t xml:space="preserve"> opposed or </w:t>
      </w:r>
      <w:r w:rsidR="00C9631E">
        <w:rPr>
          <w:bCs/>
          <w:color w:val="000000" w:themeColor="text1"/>
        </w:rPr>
        <w:t>abstained. I</w:t>
      </w:r>
      <w:r w:rsidRPr="00792A18">
        <w:rPr>
          <w:bCs/>
          <w:color w:val="000000" w:themeColor="text1"/>
        </w:rPr>
        <w:t xml:space="preserve">nstitutional investors </w:t>
      </w:r>
      <w:r w:rsidR="00C9631E">
        <w:rPr>
          <w:bCs/>
          <w:color w:val="000000" w:themeColor="text1"/>
        </w:rPr>
        <w:t>commonly use abstention to signal</w:t>
      </w:r>
      <w:r w:rsidRPr="00792A18">
        <w:rPr>
          <w:bCs/>
          <w:color w:val="000000" w:themeColor="text1"/>
        </w:rPr>
        <w:t xml:space="preserve"> a negative view on a proposal without a</w:t>
      </w:r>
      <w:r w:rsidR="00CF7C3C" w:rsidRPr="00792A18">
        <w:rPr>
          <w:bCs/>
          <w:color w:val="000000" w:themeColor="text1"/>
        </w:rPr>
        <w:t>ctive</w:t>
      </w:r>
      <w:r w:rsidR="00792A18" w:rsidRPr="00792A18">
        <w:rPr>
          <w:bCs/>
          <w:color w:val="000000" w:themeColor="text1"/>
        </w:rPr>
        <w:t>ly</w:t>
      </w:r>
      <w:r w:rsidR="00CF7C3C" w:rsidRPr="00792A18">
        <w:rPr>
          <w:bCs/>
          <w:color w:val="000000" w:themeColor="text1"/>
        </w:rPr>
        <w:t xml:space="preserve"> opposi</w:t>
      </w:r>
      <w:r w:rsidR="00792A18" w:rsidRPr="00792A18">
        <w:rPr>
          <w:bCs/>
          <w:color w:val="000000" w:themeColor="text1"/>
        </w:rPr>
        <w:t>ng it</w:t>
      </w:r>
      <w:r w:rsidR="00CF7C3C" w:rsidRPr="00792A18">
        <w:rPr>
          <w:bCs/>
          <w:color w:val="000000" w:themeColor="text1"/>
        </w:rPr>
        <w:t>. W</w:t>
      </w:r>
      <w:r w:rsidRPr="00792A18">
        <w:rPr>
          <w:bCs/>
          <w:color w:val="000000" w:themeColor="text1"/>
        </w:rPr>
        <w:t xml:space="preserve">ithin certain foreign jurisdictions, shareholders either vote </w:t>
      </w:r>
      <w:r w:rsidR="00CF7C3C" w:rsidRPr="00792A18">
        <w:rPr>
          <w:bCs/>
          <w:color w:val="000000" w:themeColor="text1"/>
        </w:rPr>
        <w:t xml:space="preserve">in favour of </w:t>
      </w:r>
      <w:r w:rsidRPr="00792A18">
        <w:rPr>
          <w:bCs/>
          <w:color w:val="000000" w:themeColor="text1"/>
        </w:rPr>
        <w:t xml:space="preserve">a resolution or </w:t>
      </w:r>
      <w:r w:rsidR="00CF7C3C" w:rsidRPr="00792A18">
        <w:rPr>
          <w:bCs/>
          <w:color w:val="000000" w:themeColor="text1"/>
        </w:rPr>
        <w:t xml:space="preserve">do not vote </w:t>
      </w:r>
      <w:r w:rsidRPr="00792A18">
        <w:rPr>
          <w:bCs/>
          <w:color w:val="000000" w:themeColor="text1"/>
        </w:rPr>
        <w:t>at</w:t>
      </w:r>
      <w:r w:rsidR="00A55FDC">
        <w:rPr>
          <w:bCs/>
          <w:color w:val="000000" w:themeColor="text1"/>
        </w:rPr>
        <w:t xml:space="preserve"> all (</w:t>
      </w:r>
      <w:r w:rsidR="008A3AF2">
        <w:rPr>
          <w:bCs/>
          <w:color w:val="000000" w:themeColor="text1"/>
        </w:rPr>
        <w:t xml:space="preserve">described as a </w:t>
      </w:r>
      <w:r w:rsidRPr="00792A18">
        <w:rPr>
          <w:bCs/>
          <w:color w:val="000000" w:themeColor="text1"/>
        </w:rPr>
        <w:t xml:space="preserve">vote </w:t>
      </w:r>
      <w:r w:rsidR="008A3AF2">
        <w:rPr>
          <w:bCs/>
          <w:color w:val="000000" w:themeColor="text1"/>
        </w:rPr>
        <w:t xml:space="preserve">being </w:t>
      </w:r>
      <w:r w:rsidRPr="00792A18">
        <w:rPr>
          <w:bCs/>
          <w:color w:val="000000" w:themeColor="text1"/>
        </w:rPr>
        <w:t>withheld</w:t>
      </w:r>
      <w:r w:rsidR="008A3AF2">
        <w:rPr>
          <w:bCs/>
          <w:color w:val="000000" w:themeColor="text1"/>
        </w:rPr>
        <w:t>)</w:t>
      </w:r>
      <w:r w:rsidRPr="00792A18">
        <w:rPr>
          <w:bCs/>
          <w:color w:val="000000" w:themeColor="text1"/>
        </w:rPr>
        <w:t>. The</w:t>
      </w:r>
      <w:r w:rsidR="00CF7C3C" w:rsidRPr="00792A18">
        <w:rPr>
          <w:bCs/>
          <w:color w:val="000000" w:themeColor="text1"/>
        </w:rPr>
        <w:t xml:space="preserve">re were 19 </w:t>
      </w:r>
      <w:r w:rsidR="00F50A63">
        <w:rPr>
          <w:bCs/>
          <w:color w:val="000000" w:themeColor="text1"/>
        </w:rPr>
        <w:t>instances</w:t>
      </w:r>
      <w:r w:rsidR="00792A18" w:rsidRPr="00792A18">
        <w:rPr>
          <w:bCs/>
          <w:color w:val="000000" w:themeColor="text1"/>
        </w:rPr>
        <w:t xml:space="preserve"> </w:t>
      </w:r>
      <w:r w:rsidR="008A3AF2">
        <w:rPr>
          <w:bCs/>
          <w:color w:val="000000" w:themeColor="text1"/>
        </w:rPr>
        <w:t>(</w:t>
      </w:r>
      <w:r w:rsidR="008A3AF2" w:rsidRPr="00792A18">
        <w:rPr>
          <w:bCs/>
          <w:color w:val="000000" w:themeColor="text1"/>
        </w:rPr>
        <w:t>4%</w:t>
      </w:r>
      <w:r w:rsidR="008A3AF2">
        <w:rPr>
          <w:bCs/>
          <w:color w:val="000000" w:themeColor="text1"/>
        </w:rPr>
        <w:t xml:space="preserve">) </w:t>
      </w:r>
      <w:r w:rsidR="00792A18" w:rsidRPr="00792A18">
        <w:rPr>
          <w:bCs/>
          <w:color w:val="000000" w:themeColor="text1"/>
        </w:rPr>
        <w:t xml:space="preserve">where votes were withheld </w:t>
      </w:r>
      <w:r w:rsidRPr="00792A18">
        <w:rPr>
          <w:bCs/>
          <w:color w:val="000000" w:themeColor="text1"/>
        </w:rPr>
        <w:t>in the period</w:t>
      </w:r>
      <w:r w:rsidR="008A3AF2">
        <w:rPr>
          <w:bCs/>
          <w:color w:val="000000" w:themeColor="text1"/>
        </w:rPr>
        <w:t>.</w:t>
      </w:r>
      <w:r w:rsidR="00792A18" w:rsidRPr="00792A18">
        <w:rPr>
          <w:bCs/>
          <w:color w:val="000000" w:themeColor="text1"/>
        </w:rPr>
        <w:t xml:space="preserve"> </w:t>
      </w:r>
    </w:p>
    <w:p w:rsidR="003834D5" w:rsidRDefault="003834D5" w:rsidP="003834D5">
      <w:pPr>
        <w:keepNext/>
        <w:outlineLvl w:val="0"/>
        <w:rPr>
          <w:bCs/>
          <w:color w:val="00B050"/>
        </w:rPr>
      </w:pPr>
    </w:p>
    <w:p w:rsidR="00CE11AA" w:rsidRDefault="00F50A63" w:rsidP="003834D5">
      <w:pPr>
        <w:keepNext/>
        <w:outlineLvl w:val="0"/>
        <w:rPr>
          <w:bCs/>
          <w:color w:val="000000" w:themeColor="text1"/>
        </w:rPr>
      </w:pPr>
      <w:r>
        <w:rPr>
          <w:bCs/>
          <w:color w:val="000000" w:themeColor="text1"/>
        </w:rPr>
        <w:t xml:space="preserve">A </w:t>
      </w:r>
      <w:r w:rsidR="00C6463B">
        <w:rPr>
          <w:bCs/>
          <w:color w:val="000000" w:themeColor="text1"/>
        </w:rPr>
        <w:t xml:space="preserve">more detailed </w:t>
      </w:r>
      <w:r>
        <w:rPr>
          <w:bCs/>
          <w:color w:val="000000" w:themeColor="text1"/>
        </w:rPr>
        <w:t>s</w:t>
      </w:r>
      <w:r w:rsidR="00AA2EB7">
        <w:rPr>
          <w:bCs/>
          <w:color w:val="000000" w:themeColor="text1"/>
        </w:rPr>
        <w:t>ummar</w:t>
      </w:r>
      <w:r>
        <w:rPr>
          <w:bCs/>
          <w:color w:val="000000" w:themeColor="text1"/>
        </w:rPr>
        <w:t>y</w:t>
      </w:r>
      <w:r w:rsidR="00AA2EB7">
        <w:rPr>
          <w:bCs/>
          <w:color w:val="000000" w:themeColor="text1"/>
        </w:rPr>
        <w:t xml:space="preserve"> of</w:t>
      </w:r>
      <w:r w:rsidR="00683E0A" w:rsidRPr="00384FC5">
        <w:rPr>
          <w:bCs/>
          <w:color w:val="000000" w:themeColor="text1"/>
        </w:rPr>
        <w:t xml:space="preserve"> </w:t>
      </w:r>
      <w:r w:rsidR="008614CE" w:rsidRPr="00384FC5">
        <w:rPr>
          <w:bCs/>
          <w:color w:val="000000" w:themeColor="text1"/>
        </w:rPr>
        <w:t xml:space="preserve">voting by category for the largest markets (UK and US) </w:t>
      </w:r>
      <w:r>
        <w:rPr>
          <w:bCs/>
          <w:color w:val="000000" w:themeColor="text1"/>
        </w:rPr>
        <w:t>is</w:t>
      </w:r>
      <w:r w:rsidR="008614CE" w:rsidRPr="00384FC5">
        <w:rPr>
          <w:bCs/>
          <w:color w:val="000000" w:themeColor="text1"/>
        </w:rPr>
        <w:t xml:space="preserve"> set out below:</w:t>
      </w:r>
    </w:p>
    <w:p w:rsidR="00D97286" w:rsidRPr="00683E0A" w:rsidRDefault="00D97286" w:rsidP="003834D5">
      <w:pPr>
        <w:keepNext/>
        <w:outlineLvl w:val="0"/>
        <w:rPr>
          <w:bCs/>
          <w:color w:val="000000" w:themeColor="text1"/>
        </w:rPr>
      </w:pPr>
    </w:p>
    <w:tbl>
      <w:tblPr>
        <w:tblW w:w="7371" w:type="dxa"/>
        <w:tblLook w:val="04A0" w:firstRow="1" w:lastRow="0" w:firstColumn="1" w:lastColumn="0" w:noHBand="0" w:noVBand="1"/>
      </w:tblPr>
      <w:tblGrid>
        <w:gridCol w:w="142"/>
        <w:gridCol w:w="3119"/>
        <w:gridCol w:w="992"/>
        <w:gridCol w:w="992"/>
        <w:gridCol w:w="992"/>
        <w:gridCol w:w="1134"/>
      </w:tblGrid>
      <w:tr w:rsidR="0022545B" w:rsidRPr="0022545B" w:rsidTr="00F1456D">
        <w:trPr>
          <w:trHeight w:val="375"/>
        </w:trPr>
        <w:tc>
          <w:tcPr>
            <w:tcW w:w="3261" w:type="dxa"/>
            <w:gridSpan w:val="2"/>
            <w:tcBorders>
              <w:top w:val="nil"/>
              <w:left w:val="nil"/>
              <w:bottom w:val="nil"/>
              <w:right w:val="nil"/>
            </w:tcBorders>
            <w:shd w:val="clear" w:color="auto" w:fill="auto"/>
            <w:vAlign w:val="center"/>
            <w:hideMark/>
          </w:tcPr>
          <w:p w:rsidR="0022545B" w:rsidRPr="00DB1028" w:rsidRDefault="0022545B" w:rsidP="0022545B">
            <w:pPr>
              <w:rPr>
                <w:rFonts w:ascii="Times New Roman" w:hAnsi="Times New Roman"/>
                <w:b/>
                <w:sz w:val="20"/>
                <w:szCs w:val="24"/>
              </w:rPr>
            </w:pPr>
            <w:r w:rsidRPr="00DB1028">
              <w:rPr>
                <w:b/>
                <w:bCs/>
                <w:color w:val="000000" w:themeColor="text1"/>
              </w:rPr>
              <w:t>United Kingdom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For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Abstain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Oppose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Total</w:t>
            </w:r>
          </w:p>
        </w:tc>
      </w:tr>
      <w:tr w:rsidR="0022545B" w:rsidRPr="0022545B" w:rsidTr="00C9631E">
        <w:trPr>
          <w:gridBefore w:val="1"/>
          <w:wBefore w:w="142" w:type="dxa"/>
          <w:trHeight w:val="34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Annual Reports</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6</w:t>
            </w:r>
          </w:p>
        </w:tc>
      </w:tr>
      <w:tr w:rsidR="0022545B" w:rsidRPr="0022545B" w:rsidTr="00F1456D">
        <w:trPr>
          <w:gridBefore w:val="1"/>
          <w:wBefore w:w="142"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Auditors</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4</w:t>
            </w:r>
          </w:p>
        </w:tc>
      </w:tr>
      <w:tr w:rsidR="0022545B" w:rsidRPr="0022545B" w:rsidTr="00F1456D">
        <w:trPr>
          <w:gridBefore w:val="1"/>
          <w:wBefore w:w="142"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Corporate Actions</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1</w:t>
            </w:r>
          </w:p>
        </w:tc>
      </w:tr>
      <w:tr w:rsidR="0022545B" w:rsidRPr="0022545B" w:rsidTr="00F1456D">
        <w:trPr>
          <w:gridBefore w:val="1"/>
          <w:wBefore w:w="142"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Corporate Donations</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2</w:t>
            </w:r>
          </w:p>
        </w:tc>
      </w:tr>
      <w:tr w:rsidR="0022545B" w:rsidRPr="0022545B" w:rsidTr="00F1456D">
        <w:trPr>
          <w:gridBefore w:val="1"/>
          <w:wBefore w:w="142"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Directors</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15</w:t>
            </w:r>
          </w:p>
        </w:tc>
      </w:tr>
      <w:tr w:rsidR="0022545B" w:rsidRPr="0022545B" w:rsidTr="00F1456D">
        <w:trPr>
          <w:gridBefore w:val="1"/>
          <w:wBefore w:w="142"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Dividend</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2</w:t>
            </w:r>
          </w:p>
        </w:tc>
      </w:tr>
      <w:tr w:rsidR="0022545B" w:rsidRPr="0022545B" w:rsidTr="00F1456D">
        <w:trPr>
          <w:gridBefore w:val="1"/>
          <w:wBefore w:w="142"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Miscellaneous</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2</w:t>
            </w:r>
          </w:p>
        </w:tc>
      </w:tr>
      <w:tr w:rsidR="0022545B" w:rsidRPr="0022545B" w:rsidTr="00F1456D">
        <w:trPr>
          <w:gridBefore w:val="1"/>
          <w:wBefore w:w="142"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2545B" w:rsidRPr="0022545B" w:rsidRDefault="0022545B" w:rsidP="0022545B">
            <w:pPr>
              <w:rPr>
                <w:rFonts w:cs="Arial"/>
                <w:color w:val="323232"/>
                <w:sz w:val="18"/>
                <w:szCs w:val="18"/>
              </w:rPr>
            </w:pPr>
            <w:r w:rsidRPr="0022545B">
              <w:rPr>
                <w:rFonts w:cs="Arial"/>
                <w:color w:val="323232"/>
                <w:sz w:val="18"/>
                <w:szCs w:val="18"/>
              </w:rPr>
              <w:t>Share Issue/Re-purchase</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22545B" w:rsidRPr="0022545B" w:rsidRDefault="0022545B" w:rsidP="0022545B">
            <w:pPr>
              <w:jc w:val="center"/>
              <w:rPr>
                <w:rFonts w:cs="Arial"/>
                <w:color w:val="323232"/>
                <w:sz w:val="18"/>
                <w:szCs w:val="18"/>
              </w:rPr>
            </w:pPr>
            <w:r w:rsidRPr="0022545B">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6</w:t>
            </w:r>
          </w:p>
        </w:tc>
      </w:tr>
      <w:tr w:rsidR="0022545B" w:rsidRPr="0022545B" w:rsidTr="00F1456D">
        <w:trPr>
          <w:gridBefore w:val="1"/>
          <w:wBefore w:w="142" w:type="dxa"/>
          <w:trHeight w:val="345"/>
        </w:trPr>
        <w:tc>
          <w:tcPr>
            <w:tcW w:w="3119" w:type="dxa"/>
            <w:tcBorders>
              <w:top w:val="nil"/>
              <w:left w:val="nil"/>
              <w:bottom w:val="nil"/>
              <w:right w:val="nil"/>
            </w:tcBorders>
            <w:shd w:val="clear" w:color="auto" w:fill="auto"/>
            <w:vAlign w:val="center"/>
            <w:hideMark/>
          </w:tcPr>
          <w:p w:rsidR="0022545B" w:rsidRPr="0022545B" w:rsidRDefault="0022545B" w:rsidP="0022545B">
            <w:pPr>
              <w:jc w:val="right"/>
              <w:rPr>
                <w:rFonts w:cs="Arial"/>
                <w:b/>
                <w:bCs/>
                <w:color w:val="323232"/>
                <w:sz w:val="18"/>
                <w:szCs w:val="18"/>
              </w:rPr>
            </w:pPr>
            <w:r w:rsidRPr="0022545B">
              <w:rPr>
                <w:rFonts w:cs="Arial"/>
                <w:b/>
                <w:bCs/>
                <w:color w:val="323232"/>
                <w:sz w:val="18"/>
                <w:szCs w:val="18"/>
              </w:rPr>
              <w:t>Total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b/>
                <w:bCs/>
                <w:color w:val="000000"/>
                <w:sz w:val="18"/>
                <w:szCs w:val="18"/>
              </w:rPr>
            </w:pPr>
            <w:r w:rsidRPr="0022545B">
              <w:rPr>
                <w:rFonts w:cs="Arial"/>
                <w:b/>
                <w:bCs/>
                <w:color w:val="000000"/>
                <w:sz w:val="18"/>
                <w:szCs w:val="18"/>
              </w:rPr>
              <w:t>32</w:t>
            </w:r>
          </w:p>
        </w:tc>
        <w:tc>
          <w:tcPr>
            <w:tcW w:w="992"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b/>
                <w:bCs/>
                <w:color w:val="000000"/>
                <w:sz w:val="18"/>
                <w:szCs w:val="18"/>
              </w:rPr>
            </w:pPr>
            <w:r w:rsidRPr="0022545B">
              <w:rPr>
                <w:rFonts w:cs="Arial"/>
                <w:b/>
                <w:bCs/>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b/>
                <w:bCs/>
                <w:color w:val="000000"/>
                <w:sz w:val="18"/>
                <w:szCs w:val="18"/>
              </w:rPr>
            </w:pPr>
            <w:r w:rsidRPr="0022545B">
              <w:rPr>
                <w:rFonts w:cs="Arial"/>
                <w:b/>
                <w:bCs/>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b/>
                <w:bCs/>
                <w:color w:val="000000"/>
                <w:sz w:val="18"/>
                <w:szCs w:val="18"/>
              </w:rPr>
            </w:pPr>
            <w:r w:rsidRPr="0022545B">
              <w:rPr>
                <w:rFonts w:cs="Arial"/>
                <w:b/>
                <w:bCs/>
                <w:color w:val="000000"/>
                <w:sz w:val="18"/>
                <w:szCs w:val="18"/>
              </w:rPr>
              <w:t>38</w:t>
            </w:r>
          </w:p>
        </w:tc>
      </w:tr>
      <w:tr w:rsidR="0022545B" w:rsidRPr="0022545B" w:rsidTr="00F1456D">
        <w:trPr>
          <w:trHeight w:val="345"/>
        </w:trPr>
        <w:tc>
          <w:tcPr>
            <w:tcW w:w="3261" w:type="dxa"/>
            <w:gridSpan w:val="2"/>
            <w:tcBorders>
              <w:top w:val="nil"/>
              <w:left w:val="nil"/>
              <w:bottom w:val="nil"/>
              <w:right w:val="nil"/>
            </w:tcBorders>
            <w:shd w:val="clear" w:color="auto" w:fill="auto"/>
            <w:noWrap/>
            <w:vAlign w:val="center"/>
            <w:hideMark/>
          </w:tcPr>
          <w:p w:rsidR="0022545B" w:rsidRPr="0022545B" w:rsidRDefault="0022545B" w:rsidP="0022545B">
            <w:pPr>
              <w:jc w:val="center"/>
              <w:rPr>
                <w:rFonts w:cs="Arial"/>
                <w:b/>
                <w:bCs/>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84%</w:t>
            </w:r>
          </w:p>
        </w:tc>
        <w:tc>
          <w:tcPr>
            <w:tcW w:w="992"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22545B" w:rsidRPr="0022545B" w:rsidRDefault="0022545B" w:rsidP="0022545B">
            <w:pPr>
              <w:jc w:val="center"/>
              <w:rPr>
                <w:rFonts w:cs="Arial"/>
                <w:color w:val="000000"/>
                <w:sz w:val="18"/>
                <w:szCs w:val="18"/>
              </w:rPr>
            </w:pPr>
            <w:r w:rsidRPr="0022545B">
              <w:rPr>
                <w:rFonts w:cs="Arial"/>
                <w:color w:val="000000"/>
                <w:sz w:val="18"/>
                <w:szCs w:val="18"/>
              </w:rPr>
              <w:t>100%</w:t>
            </w:r>
          </w:p>
        </w:tc>
      </w:tr>
    </w:tbl>
    <w:p w:rsidR="00CA1DD7" w:rsidRDefault="00CA1DD7"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DB1028" w:rsidRDefault="00DB1028" w:rsidP="00683E0A">
      <w:pPr>
        <w:rPr>
          <w:b/>
          <w:bCs/>
          <w:color w:val="000000" w:themeColor="text1"/>
          <w:sz w:val="20"/>
        </w:rPr>
      </w:pPr>
    </w:p>
    <w:p w:rsidR="00B21B7F" w:rsidRDefault="00B21B7F" w:rsidP="00683E0A">
      <w:pPr>
        <w:rPr>
          <w:b/>
          <w:bCs/>
          <w:color w:val="000000" w:themeColor="text1"/>
          <w:sz w:val="20"/>
        </w:rPr>
      </w:pPr>
    </w:p>
    <w:p w:rsidR="00683E0A" w:rsidRPr="00984983" w:rsidRDefault="00984983" w:rsidP="00683E0A">
      <w:pPr>
        <w:rPr>
          <w:b/>
          <w:bCs/>
          <w:color w:val="000000" w:themeColor="text1"/>
          <w:sz w:val="20"/>
        </w:rPr>
      </w:pPr>
      <w:r w:rsidRPr="00984983">
        <w:rPr>
          <w:b/>
          <w:bCs/>
          <w:color w:val="000000" w:themeColor="text1"/>
          <w:sz w:val="20"/>
        </w:rPr>
        <w:tab/>
      </w:r>
    </w:p>
    <w:tbl>
      <w:tblPr>
        <w:tblW w:w="8176" w:type="dxa"/>
        <w:tblInd w:w="108" w:type="dxa"/>
        <w:tblLook w:val="04A0" w:firstRow="1" w:lastRow="0" w:firstColumn="1" w:lastColumn="0" w:noHBand="0" w:noVBand="1"/>
      </w:tblPr>
      <w:tblGrid>
        <w:gridCol w:w="3119"/>
        <w:gridCol w:w="992"/>
        <w:gridCol w:w="992"/>
        <w:gridCol w:w="993"/>
        <w:gridCol w:w="1134"/>
        <w:gridCol w:w="946"/>
      </w:tblGrid>
      <w:tr w:rsidR="0085143C" w:rsidRPr="0085143C" w:rsidTr="003B07E2">
        <w:trPr>
          <w:trHeight w:val="300"/>
        </w:trPr>
        <w:tc>
          <w:tcPr>
            <w:tcW w:w="3119" w:type="dxa"/>
            <w:tcBorders>
              <w:top w:val="nil"/>
              <w:left w:val="nil"/>
              <w:bottom w:val="nil"/>
              <w:right w:val="nil"/>
            </w:tcBorders>
            <w:shd w:val="clear" w:color="auto" w:fill="auto"/>
            <w:vAlign w:val="center"/>
            <w:hideMark/>
          </w:tcPr>
          <w:p w:rsidR="0085143C" w:rsidRPr="0085143C" w:rsidRDefault="0085143C" w:rsidP="0085143C">
            <w:pPr>
              <w:rPr>
                <w:rFonts w:cs="Arial"/>
                <w:b/>
                <w:sz w:val="22"/>
                <w:szCs w:val="22"/>
              </w:rPr>
            </w:pPr>
            <w:r w:rsidRPr="0085143C">
              <w:rPr>
                <w:rFonts w:cs="Arial"/>
                <w:b/>
                <w:sz w:val="22"/>
                <w:szCs w:val="22"/>
              </w:rPr>
              <w:lastRenderedPageBreak/>
              <w:t>USA &amp; Canada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For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Abstain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Oppose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Withheld</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Total</w:t>
            </w:r>
          </w:p>
        </w:tc>
      </w:tr>
      <w:tr w:rsidR="0085143C" w:rsidRPr="0085143C" w:rsidTr="003B07E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All Employee Schemes</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4</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Annual Reports</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4</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Articles of Association</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11</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Auditors</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13</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Corporate Actions</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2</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Directors</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81</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19</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125</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Dividend</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Executive Pay Schemes</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w:t>
            </w:r>
          </w:p>
        </w:tc>
      </w:tr>
      <w:tr w:rsidR="0085143C" w:rsidRPr="0085143C" w:rsidTr="003A4BB5">
        <w:trPr>
          <w:trHeight w:val="300"/>
        </w:trPr>
        <w:tc>
          <w:tcPr>
            <w:tcW w:w="3119" w:type="dxa"/>
            <w:tcBorders>
              <w:top w:val="nil"/>
              <w:left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Miscellaneous</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2</w:t>
            </w:r>
          </w:p>
        </w:tc>
      </w:tr>
      <w:tr w:rsidR="0085143C" w:rsidRPr="0085143C" w:rsidTr="00B21B7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N</w:t>
            </w:r>
            <w:r w:rsidR="003B07E2">
              <w:rPr>
                <w:rFonts w:cs="Arial"/>
                <w:color w:val="323232"/>
                <w:sz w:val="18"/>
                <w:szCs w:val="18"/>
              </w:rPr>
              <w:t xml:space="preserve">on- </w:t>
            </w:r>
            <w:r w:rsidRPr="0085143C">
              <w:rPr>
                <w:rFonts w:cs="Arial"/>
                <w:color w:val="323232"/>
                <w:sz w:val="18"/>
                <w:szCs w:val="18"/>
              </w:rPr>
              <w:t>E</w:t>
            </w:r>
            <w:r w:rsidR="003B07E2">
              <w:rPr>
                <w:rFonts w:cs="Arial"/>
                <w:color w:val="323232"/>
                <w:sz w:val="18"/>
                <w:szCs w:val="18"/>
              </w:rPr>
              <w:t xml:space="preserve">xec </w:t>
            </w:r>
            <w:r w:rsidRPr="0085143C">
              <w:rPr>
                <w:rFonts w:cs="Arial"/>
                <w:color w:val="323232"/>
                <w:sz w:val="18"/>
                <w:szCs w:val="18"/>
              </w:rPr>
              <w:t>D</w:t>
            </w:r>
            <w:r w:rsidR="003B07E2">
              <w:rPr>
                <w:rFonts w:cs="Arial"/>
                <w:color w:val="323232"/>
                <w:sz w:val="18"/>
                <w:szCs w:val="18"/>
              </w:rPr>
              <w:t>irector</w:t>
            </w:r>
            <w:r w:rsidRPr="0085143C">
              <w:rPr>
                <w:rFonts w:cs="Arial"/>
                <w:color w:val="323232"/>
                <w:sz w:val="18"/>
                <w:szCs w:val="18"/>
              </w:rPr>
              <w:t xml:space="preserve"> Fees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w:t>
            </w:r>
          </w:p>
        </w:tc>
      </w:tr>
      <w:tr w:rsidR="0085143C" w:rsidRPr="0085143C" w:rsidTr="00B21B7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Say on Pay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11</w:t>
            </w:r>
          </w:p>
        </w:tc>
      </w:tr>
      <w:tr w:rsidR="00B21B7F" w:rsidRPr="0085143C" w:rsidTr="00B21B7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21B7F" w:rsidRPr="0085143C" w:rsidRDefault="00B21B7F" w:rsidP="00B21B7F">
            <w:pPr>
              <w:rPr>
                <w:rFonts w:cs="Arial"/>
                <w:color w:val="323232"/>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1B7F" w:rsidRPr="0085143C" w:rsidRDefault="00B21B7F" w:rsidP="00B21B7F">
            <w:pPr>
              <w:jc w:val="center"/>
              <w:rPr>
                <w:rFonts w:cs="Arial"/>
                <w:color w:val="323232"/>
                <w:sz w:val="18"/>
                <w:szCs w:val="18"/>
              </w:rPr>
            </w:pPr>
            <w:r w:rsidRPr="0085143C">
              <w:rPr>
                <w:rFonts w:cs="Arial"/>
                <w:color w:val="323232"/>
                <w:sz w:val="18"/>
                <w:szCs w:val="18"/>
              </w:rPr>
              <w:t>For</w:t>
            </w:r>
          </w:p>
        </w:tc>
        <w:tc>
          <w:tcPr>
            <w:tcW w:w="992" w:type="dxa"/>
            <w:tcBorders>
              <w:top w:val="single" w:sz="4" w:space="0" w:color="auto"/>
              <w:left w:val="nil"/>
              <w:bottom w:val="single" w:sz="4" w:space="0" w:color="auto"/>
              <w:right w:val="single" w:sz="4" w:space="0" w:color="auto"/>
            </w:tcBorders>
            <w:shd w:val="clear" w:color="auto" w:fill="auto"/>
            <w:vAlign w:val="center"/>
          </w:tcPr>
          <w:p w:rsidR="00B21B7F" w:rsidRPr="0085143C" w:rsidRDefault="00B21B7F" w:rsidP="00B21B7F">
            <w:pPr>
              <w:jc w:val="center"/>
              <w:rPr>
                <w:rFonts w:cs="Arial"/>
                <w:color w:val="323232"/>
                <w:sz w:val="18"/>
                <w:szCs w:val="18"/>
              </w:rPr>
            </w:pPr>
            <w:r w:rsidRPr="0085143C">
              <w:rPr>
                <w:rFonts w:cs="Arial"/>
                <w:color w:val="323232"/>
                <w:sz w:val="18"/>
                <w:szCs w:val="18"/>
              </w:rPr>
              <w:t>Abstain</w:t>
            </w:r>
          </w:p>
        </w:tc>
        <w:tc>
          <w:tcPr>
            <w:tcW w:w="993" w:type="dxa"/>
            <w:tcBorders>
              <w:top w:val="single" w:sz="4" w:space="0" w:color="auto"/>
              <w:left w:val="nil"/>
              <w:bottom w:val="single" w:sz="4" w:space="0" w:color="auto"/>
              <w:right w:val="single" w:sz="4" w:space="0" w:color="auto"/>
            </w:tcBorders>
            <w:shd w:val="clear" w:color="auto" w:fill="auto"/>
            <w:vAlign w:val="center"/>
          </w:tcPr>
          <w:p w:rsidR="00B21B7F" w:rsidRPr="0085143C" w:rsidRDefault="00B21B7F" w:rsidP="00B21B7F">
            <w:pPr>
              <w:jc w:val="center"/>
              <w:rPr>
                <w:rFonts w:cs="Arial"/>
                <w:color w:val="323232"/>
                <w:sz w:val="18"/>
                <w:szCs w:val="18"/>
              </w:rPr>
            </w:pPr>
            <w:r w:rsidRPr="0085143C">
              <w:rPr>
                <w:rFonts w:cs="Arial"/>
                <w:color w:val="323232"/>
                <w:sz w:val="18"/>
                <w:szCs w:val="18"/>
              </w:rPr>
              <w:t>Oppose</w:t>
            </w:r>
          </w:p>
        </w:tc>
        <w:tc>
          <w:tcPr>
            <w:tcW w:w="1134" w:type="dxa"/>
            <w:tcBorders>
              <w:top w:val="single" w:sz="4" w:space="0" w:color="auto"/>
              <w:left w:val="nil"/>
              <w:bottom w:val="single" w:sz="4" w:space="0" w:color="auto"/>
              <w:right w:val="single" w:sz="4" w:space="0" w:color="auto"/>
            </w:tcBorders>
            <w:shd w:val="clear" w:color="auto" w:fill="auto"/>
            <w:vAlign w:val="center"/>
          </w:tcPr>
          <w:p w:rsidR="00B21B7F" w:rsidRPr="0085143C" w:rsidRDefault="00B21B7F" w:rsidP="00B21B7F">
            <w:pPr>
              <w:jc w:val="center"/>
              <w:rPr>
                <w:rFonts w:cs="Arial"/>
                <w:color w:val="323232"/>
                <w:sz w:val="18"/>
                <w:szCs w:val="18"/>
              </w:rPr>
            </w:pPr>
            <w:r w:rsidRPr="0085143C">
              <w:rPr>
                <w:rFonts w:cs="Arial"/>
                <w:color w:val="323232"/>
                <w:sz w:val="18"/>
                <w:szCs w:val="18"/>
              </w:rPr>
              <w:t>Withheld</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B21B7F" w:rsidRPr="0085143C" w:rsidRDefault="00B21B7F" w:rsidP="00B21B7F">
            <w:pPr>
              <w:jc w:val="center"/>
              <w:rPr>
                <w:rFonts w:cs="Arial"/>
                <w:color w:val="000000"/>
                <w:sz w:val="18"/>
                <w:szCs w:val="18"/>
              </w:rPr>
            </w:pPr>
            <w:r w:rsidRPr="0085143C">
              <w:rPr>
                <w:rFonts w:cs="Arial"/>
                <w:color w:val="000000"/>
                <w:sz w:val="18"/>
                <w:szCs w:val="18"/>
              </w:rPr>
              <w:t>Total</w:t>
            </w:r>
          </w:p>
        </w:tc>
      </w:tr>
      <w:tr w:rsidR="0085143C" w:rsidRPr="0085143C" w:rsidTr="00B21B7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Share Capital Restructuring</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2</w:t>
            </w:r>
          </w:p>
        </w:tc>
      </w:tr>
      <w:tr w:rsidR="0085143C" w:rsidRPr="0085143C" w:rsidTr="003B07E2">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5143C" w:rsidRPr="0085143C" w:rsidRDefault="0085143C" w:rsidP="0085143C">
            <w:pPr>
              <w:rPr>
                <w:rFonts w:cs="Arial"/>
                <w:color w:val="323232"/>
                <w:sz w:val="18"/>
                <w:szCs w:val="18"/>
              </w:rPr>
            </w:pPr>
            <w:r w:rsidRPr="0085143C">
              <w:rPr>
                <w:rFonts w:cs="Arial"/>
                <w:color w:val="323232"/>
                <w:sz w:val="18"/>
                <w:szCs w:val="18"/>
              </w:rPr>
              <w:t>Shareholder Resolution</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85143C" w:rsidRPr="0085143C" w:rsidRDefault="0085143C" w:rsidP="0085143C">
            <w:pPr>
              <w:jc w:val="center"/>
              <w:rPr>
                <w:rFonts w:cs="Arial"/>
                <w:color w:val="323232"/>
                <w:sz w:val="18"/>
                <w:szCs w:val="18"/>
              </w:rPr>
            </w:pPr>
            <w:r w:rsidRPr="0085143C">
              <w:rPr>
                <w:rFonts w:cs="Arial"/>
                <w:color w:val="323232"/>
                <w:sz w:val="18"/>
                <w:szCs w:val="18"/>
              </w:rPr>
              <w:t>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12</w:t>
            </w:r>
          </w:p>
        </w:tc>
      </w:tr>
      <w:tr w:rsidR="0085143C" w:rsidRPr="0085143C" w:rsidTr="003B07E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3C" w:rsidRPr="003A4BB5" w:rsidRDefault="0085143C" w:rsidP="0085143C">
            <w:pPr>
              <w:rPr>
                <w:rFonts w:cs="Arial"/>
                <w:b/>
                <w:color w:val="323232"/>
                <w:sz w:val="18"/>
                <w:szCs w:val="18"/>
              </w:rPr>
            </w:pPr>
            <w:r w:rsidRPr="003A4BB5">
              <w:rPr>
                <w:rFonts w:cs="Arial"/>
                <w:b/>
                <w:color w:val="323232"/>
                <w:sz w:val="18"/>
                <w:szCs w:val="18"/>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85143C" w:rsidRPr="003A4BB5" w:rsidRDefault="0085143C" w:rsidP="0085143C">
            <w:pPr>
              <w:jc w:val="center"/>
              <w:rPr>
                <w:rFonts w:cs="Arial"/>
                <w:b/>
                <w:color w:val="000000"/>
                <w:sz w:val="18"/>
                <w:szCs w:val="18"/>
              </w:rPr>
            </w:pPr>
            <w:r w:rsidRPr="003A4BB5">
              <w:rPr>
                <w:rFonts w:cs="Arial"/>
                <w:b/>
                <w:color w:val="000000"/>
                <w:sz w:val="18"/>
                <w:szCs w:val="18"/>
              </w:rPr>
              <w:t>124</w:t>
            </w:r>
          </w:p>
        </w:tc>
        <w:tc>
          <w:tcPr>
            <w:tcW w:w="992" w:type="dxa"/>
            <w:tcBorders>
              <w:top w:val="nil"/>
              <w:left w:val="nil"/>
              <w:bottom w:val="single" w:sz="4" w:space="0" w:color="auto"/>
              <w:right w:val="single" w:sz="4" w:space="0" w:color="auto"/>
            </w:tcBorders>
            <w:shd w:val="clear" w:color="auto" w:fill="auto"/>
            <w:noWrap/>
            <w:vAlign w:val="center"/>
            <w:hideMark/>
          </w:tcPr>
          <w:p w:rsidR="0085143C" w:rsidRPr="003A4BB5" w:rsidRDefault="0085143C" w:rsidP="0085143C">
            <w:pPr>
              <w:jc w:val="center"/>
              <w:rPr>
                <w:rFonts w:cs="Arial"/>
                <w:b/>
                <w:color w:val="000000"/>
                <w:sz w:val="18"/>
                <w:szCs w:val="18"/>
              </w:rPr>
            </w:pPr>
            <w:r w:rsidRPr="003A4BB5">
              <w:rPr>
                <w:rFonts w:cs="Arial"/>
                <w:b/>
                <w:color w:val="000000"/>
                <w:sz w:val="18"/>
                <w:szCs w:val="18"/>
              </w:rPr>
              <w:t>12</w:t>
            </w:r>
          </w:p>
        </w:tc>
        <w:tc>
          <w:tcPr>
            <w:tcW w:w="993" w:type="dxa"/>
            <w:tcBorders>
              <w:top w:val="nil"/>
              <w:left w:val="nil"/>
              <w:bottom w:val="single" w:sz="4" w:space="0" w:color="auto"/>
              <w:right w:val="single" w:sz="4" w:space="0" w:color="auto"/>
            </w:tcBorders>
            <w:shd w:val="clear" w:color="auto" w:fill="auto"/>
            <w:noWrap/>
            <w:vAlign w:val="center"/>
            <w:hideMark/>
          </w:tcPr>
          <w:p w:rsidR="0085143C" w:rsidRPr="003A4BB5" w:rsidRDefault="0085143C" w:rsidP="0085143C">
            <w:pPr>
              <w:jc w:val="center"/>
              <w:rPr>
                <w:rFonts w:cs="Arial"/>
                <w:b/>
                <w:color w:val="000000"/>
                <w:sz w:val="18"/>
                <w:szCs w:val="18"/>
              </w:rPr>
            </w:pPr>
            <w:r w:rsidRPr="003A4BB5">
              <w:rPr>
                <w:rFonts w:cs="Arial"/>
                <w:b/>
                <w:color w:val="000000"/>
                <w:sz w:val="18"/>
                <w:szCs w:val="18"/>
              </w:rPr>
              <w:t>34</w:t>
            </w:r>
          </w:p>
        </w:tc>
        <w:tc>
          <w:tcPr>
            <w:tcW w:w="1134" w:type="dxa"/>
            <w:tcBorders>
              <w:top w:val="nil"/>
              <w:left w:val="nil"/>
              <w:bottom w:val="single" w:sz="4" w:space="0" w:color="auto"/>
              <w:right w:val="single" w:sz="4" w:space="0" w:color="auto"/>
            </w:tcBorders>
            <w:shd w:val="clear" w:color="auto" w:fill="auto"/>
            <w:noWrap/>
            <w:vAlign w:val="center"/>
            <w:hideMark/>
          </w:tcPr>
          <w:p w:rsidR="0085143C" w:rsidRPr="003A4BB5" w:rsidRDefault="0085143C" w:rsidP="0085143C">
            <w:pPr>
              <w:jc w:val="center"/>
              <w:rPr>
                <w:rFonts w:cs="Arial"/>
                <w:b/>
                <w:color w:val="000000"/>
                <w:sz w:val="18"/>
                <w:szCs w:val="18"/>
              </w:rPr>
            </w:pPr>
            <w:r w:rsidRPr="003A4BB5">
              <w:rPr>
                <w:rFonts w:cs="Arial"/>
                <w:b/>
                <w:color w:val="000000"/>
                <w:sz w:val="18"/>
                <w:szCs w:val="18"/>
              </w:rPr>
              <w:t>19</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3A4BB5" w:rsidRDefault="0085143C" w:rsidP="0085143C">
            <w:pPr>
              <w:jc w:val="center"/>
              <w:rPr>
                <w:rFonts w:cs="Arial"/>
                <w:b/>
                <w:color w:val="000000"/>
                <w:sz w:val="18"/>
                <w:szCs w:val="18"/>
              </w:rPr>
            </w:pPr>
            <w:r w:rsidRPr="003A4BB5">
              <w:rPr>
                <w:rFonts w:cs="Arial"/>
                <w:b/>
                <w:color w:val="000000"/>
                <w:sz w:val="18"/>
                <w:szCs w:val="18"/>
              </w:rPr>
              <w:t>189</w:t>
            </w:r>
          </w:p>
        </w:tc>
      </w:tr>
      <w:tr w:rsidR="0085143C" w:rsidRPr="0085143C" w:rsidTr="003B07E2">
        <w:trPr>
          <w:trHeight w:val="300"/>
        </w:trPr>
        <w:tc>
          <w:tcPr>
            <w:tcW w:w="3119" w:type="dxa"/>
            <w:tcBorders>
              <w:top w:val="single" w:sz="4" w:space="0" w:color="auto"/>
              <w:left w:val="nil"/>
              <w:bottom w:val="nil"/>
              <w:right w:val="nil"/>
            </w:tcBorders>
            <w:shd w:val="clear" w:color="auto" w:fill="auto"/>
            <w:noWrap/>
            <w:vAlign w:val="center"/>
            <w:hideMark/>
          </w:tcPr>
          <w:p w:rsidR="0085143C" w:rsidRPr="0085143C" w:rsidRDefault="0085143C" w:rsidP="0085143C">
            <w:pPr>
              <w:jc w:val="center"/>
              <w:rPr>
                <w:rFonts w:cs="Arial"/>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66%</w:t>
            </w:r>
          </w:p>
        </w:tc>
        <w:tc>
          <w:tcPr>
            <w:tcW w:w="992"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6%</w:t>
            </w:r>
          </w:p>
        </w:tc>
        <w:tc>
          <w:tcPr>
            <w:tcW w:w="993"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18%</w:t>
            </w:r>
          </w:p>
        </w:tc>
        <w:tc>
          <w:tcPr>
            <w:tcW w:w="1134"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10%</w:t>
            </w:r>
          </w:p>
        </w:tc>
        <w:tc>
          <w:tcPr>
            <w:tcW w:w="946" w:type="dxa"/>
            <w:tcBorders>
              <w:top w:val="nil"/>
              <w:left w:val="nil"/>
              <w:bottom w:val="single" w:sz="4" w:space="0" w:color="auto"/>
              <w:right w:val="single" w:sz="4" w:space="0" w:color="auto"/>
            </w:tcBorders>
            <w:shd w:val="clear" w:color="auto" w:fill="auto"/>
            <w:noWrap/>
            <w:vAlign w:val="center"/>
            <w:hideMark/>
          </w:tcPr>
          <w:p w:rsidR="0085143C" w:rsidRPr="0085143C" w:rsidRDefault="0085143C" w:rsidP="0085143C">
            <w:pPr>
              <w:jc w:val="center"/>
              <w:rPr>
                <w:rFonts w:cs="Arial"/>
                <w:color w:val="000000"/>
                <w:sz w:val="18"/>
                <w:szCs w:val="18"/>
              </w:rPr>
            </w:pPr>
            <w:r w:rsidRPr="0085143C">
              <w:rPr>
                <w:rFonts w:cs="Arial"/>
                <w:color w:val="000000"/>
                <w:sz w:val="18"/>
                <w:szCs w:val="18"/>
              </w:rPr>
              <w:t>100%</w:t>
            </w:r>
          </w:p>
        </w:tc>
      </w:tr>
    </w:tbl>
    <w:p w:rsidR="0085143C" w:rsidRDefault="0085143C" w:rsidP="00683E0A">
      <w:pPr>
        <w:rPr>
          <w:bCs/>
          <w:color w:val="000000" w:themeColor="text1"/>
        </w:rPr>
      </w:pPr>
    </w:p>
    <w:p w:rsidR="00FA6658" w:rsidRDefault="00840DD3" w:rsidP="00683E0A">
      <w:pPr>
        <w:rPr>
          <w:bCs/>
          <w:color w:val="000000" w:themeColor="text1"/>
        </w:rPr>
      </w:pPr>
      <w:r>
        <w:rPr>
          <w:bCs/>
          <w:color w:val="000000" w:themeColor="text1"/>
        </w:rPr>
        <w:t xml:space="preserve">Section 3 of the </w:t>
      </w:r>
      <w:r w:rsidRPr="00840DD3">
        <w:rPr>
          <w:bCs/>
          <w:color w:val="000000" w:themeColor="text1"/>
        </w:rPr>
        <w:t xml:space="preserve">quarterly report provides </w:t>
      </w:r>
      <w:r w:rsidR="0085143C">
        <w:rPr>
          <w:bCs/>
          <w:color w:val="000000" w:themeColor="text1"/>
        </w:rPr>
        <w:t xml:space="preserve">a </w:t>
      </w:r>
      <w:r w:rsidRPr="00840DD3">
        <w:rPr>
          <w:bCs/>
          <w:color w:val="000000" w:themeColor="text1"/>
        </w:rPr>
        <w:t>c</w:t>
      </w:r>
      <w:r w:rsidR="00384FC5" w:rsidRPr="00840DD3">
        <w:rPr>
          <w:bCs/>
          <w:color w:val="000000" w:themeColor="text1"/>
        </w:rPr>
        <w:t xml:space="preserve">ommentary </w:t>
      </w:r>
      <w:r w:rsidRPr="00840DD3">
        <w:rPr>
          <w:bCs/>
          <w:color w:val="000000" w:themeColor="text1"/>
        </w:rPr>
        <w:t xml:space="preserve">on the rationale </w:t>
      </w:r>
      <w:r>
        <w:rPr>
          <w:bCs/>
          <w:color w:val="000000" w:themeColor="text1"/>
        </w:rPr>
        <w:t xml:space="preserve">for </w:t>
      </w:r>
      <w:r w:rsidR="003A4BB5">
        <w:rPr>
          <w:bCs/>
          <w:color w:val="000000" w:themeColor="text1"/>
        </w:rPr>
        <w:t>each case</w:t>
      </w:r>
      <w:r w:rsidR="003A4BB5" w:rsidRPr="00840DD3">
        <w:rPr>
          <w:bCs/>
          <w:color w:val="000000" w:themeColor="text1"/>
        </w:rPr>
        <w:t xml:space="preserve"> </w:t>
      </w:r>
      <w:r w:rsidR="003A4BB5">
        <w:rPr>
          <w:bCs/>
          <w:color w:val="000000" w:themeColor="text1"/>
        </w:rPr>
        <w:t xml:space="preserve">of </w:t>
      </w:r>
      <w:r w:rsidRPr="00840DD3">
        <w:rPr>
          <w:bCs/>
          <w:color w:val="000000" w:themeColor="text1"/>
        </w:rPr>
        <w:t>opposi</w:t>
      </w:r>
      <w:r w:rsidR="000067D8">
        <w:rPr>
          <w:bCs/>
          <w:color w:val="000000" w:themeColor="text1"/>
        </w:rPr>
        <w:t xml:space="preserve">tion or abstention. </w:t>
      </w:r>
    </w:p>
    <w:p w:rsidR="00280BD0" w:rsidRPr="00DB1028" w:rsidRDefault="00280BD0" w:rsidP="00683E0A">
      <w:pPr>
        <w:rPr>
          <w:rFonts w:cs="Arial"/>
          <w:color w:val="000000" w:themeColor="text1"/>
          <w:sz w:val="22"/>
          <w:szCs w:val="22"/>
        </w:rPr>
      </w:pPr>
    </w:p>
    <w:p w:rsidR="00962494" w:rsidRPr="00DB1028" w:rsidRDefault="0016562E" w:rsidP="00DB1028">
      <w:pPr>
        <w:pStyle w:val="ListParagraph"/>
        <w:numPr>
          <w:ilvl w:val="0"/>
          <w:numId w:val="10"/>
        </w:numPr>
        <w:ind w:hanging="720"/>
        <w:rPr>
          <w:b/>
          <w:bCs/>
          <w:color w:val="00B050"/>
        </w:rPr>
      </w:pPr>
      <w:r w:rsidRPr="00DB1028">
        <w:rPr>
          <w:rFonts w:cs="Arial"/>
          <w:b/>
          <w:color w:val="000000" w:themeColor="text1"/>
          <w:szCs w:val="24"/>
        </w:rPr>
        <w:t xml:space="preserve"> </w:t>
      </w:r>
      <w:r w:rsidRPr="00DB1028">
        <w:rPr>
          <w:b/>
          <w:color w:val="000000" w:themeColor="text1"/>
        </w:rPr>
        <w:t>Engagement through Partnerships</w:t>
      </w:r>
      <w:r w:rsidR="00962494" w:rsidRPr="00DB1028">
        <w:rPr>
          <w:b/>
          <w:bCs/>
          <w:color w:val="00B050"/>
        </w:rPr>
        <w:t xml:space="preserve"> </w:t>
      </w:r>
    </w:p>
    <w:p w:rsidR="00D97286" w:rsidRDefault="00D97286" w:rsidP="00962494">
      <w:pPr>
        <w:rPr>
          <w:bCs/>
          <w:color w:val="000000" w:themeColor="text1"/>
        </w:rPr>
      </w:pPr>
    </w:p>
    <w:p w:rsidR="00AC7C95" w:rsidRPr="00C22C3A" w:rsidRDefault="00962494" w:rsidP="00962494">
      <w:pPr>
        <w:rPr>
          <w:bCs/>
          <w:color w:val="000000" w:themeColor="text1"/>
        </w:rPr>
      </w:pPr>
      <w:r w:rsidRPr="00C22C3A">
        <w:rPr>
          <w:bCs/>
          <w:color w:val="000000" w:themeColor="text1"/>
        </w:rPr>
        <w:t>Th</w:t>
      </w:r>
      <w:r w:rsidR="003B07E2">
        <w:rPr>
          <w:bCs/>
          <w:color w:val="000000" w:themeColor="text1"/>
        </w:rPr>
        <w:t>rough engagement, th</w:t>
      </w:r>
      <w:r w:rsidRPr="00C22C3A">
        <w:rPr>
          <w:bCs/>
          <w:color w:val="000000" w:themeColor="text1"/>
        </w:rPr>
        <w:t xml:space="preserve">e Fund is </w:t>
      </w:r>
      <w:r w:rsidR="00E25A8E">
        <w:rPr>
          <w:bCs/>
          <w:color w:val="000000" w:themeColor="text1"/>
        </w:rPr>
        <w:t xml:space="preserve">ultimately </w:t>
      </w:r>
      <w:r w:rsidR="00C22C3A">
        <w:rPr>
          <w:bCs/>
          <w:color w:val="000000" w:themeColor="text1"/>
        </w:rPr>
        <w:t xml:space="preserve">seeking to influence </w:t>
      </w:r>
      <w:r w:rsidR="00F1456D">
        <w:rPr>
          <w:bCs/>
          <w:color w:val="000000" w:themeColor="text1"/>
        </w:rPr>
        <w:t xml:space="preserve">investee </w:t>
      </w:r>
      <w:r w:rsidR="00C22C3A">
        <w:rPr>
          <w:bCs/>
          <w:color w:val="000000" w:themeColor="text1"/>
        </w:rPr>
        <w:t xml:space="preserve">companies to adopt good corporate governance practices and socially responsible policies which </w:t>
      </w:r>
      <w:r w:rsidR="004320B4">
        <w:rPr>
          <w:bCs/>
          <w:color w:val="000000" w:themeColor="text1"/>
        </w:rPr>
        <w:t>make them l</w:t>
      </w:r>
      <w:r w:rsidR="00C22C3A">
        <w:rPr>
          <w:bCs/>
          <w:color w:val="000000" w:themeColor="text1"/>
        </w:rPr>
        <w:t>ess vulnerable to risk</w:t>
      </w:r>
      <w:r w:rsidR="00896882">
        <w:rPr>
          <w:bCs/>
          <w:color w:val="000000" w:themeColor="text1"/>
        </w:rPr>
        <w:t>s</w:t>
      </w:r>
      <w:r w:rsidR="00896882" w:rsidRPr="00896882">
        <w:rPr>
          <w:bCs/>
          <w:color w:val="000000" w:themeColor="text1"/>
        </w:rPr>
        <w:t xml:space="preserve"> </w:t>
      </w:r>
      <w:r w:rsidR="00896882">
        <w:rPr>
          <w:bCs/>
          <w:color w:val="000000" w:themeColor="text1"/>
        </w:rPr>
        <w:t>and more profitable</w:t>
      </w:r>
      <w:r w:rsidR="00BF3A91">
        <w:rPr>
          <w:bCs/>
          <w:color w:val="000000" w:themeColor="text1"/>
        </w:rPr>
        <w:t xml:space="preserve"> in the longer term</w:t>
      </w:r>
      <w:r w:rsidR="00C22C3A">
        <w:rPr>
          <w:bCs/>
          <w:color w:val="000000" w:themeColor="text1"/>
        </w:rPr>
        <w:t xml:space="preserve">. </w:t>
      </w:r>
      <w:r w:rsidR="003A4BB5">
        <w:rPr>
          <w:bCs/>
          <w:color w:val="000000" w:themeColor="text1"/>
        </w:rPr>
        <w:t>T</w:t>
      </w:r>
      <w:r w:rsidR="00896882">
        <w:rPr>
          <w:bCs/>
          <w:color w:val="000000" w:themeColor="text1"/>
        </w:rPr>
        <w:t>h</w:t>
      </w:r>
      <w:r w:rsidR="00E25A8E">
        <w:rPr>
          <w:bCs/>
          <w:color w:val="000000" w:themeColor="text1"/>
        </w:rPr>
        <w:t xml:space="preserve">e </w:t>
      </w:r>
      <w:r w:rsidR="00393401">
        <w:rPr>
          <w:bCs/>
          <w:color w:val="000000" w:themeColor="text1"/>
        </w:rPr>
        <w:t xml:space="preserve">breadth </w:t>
      </w:r>
      <w:r w:rsidR="00E25A8E">
        <w:rPr>
          <w:bCs/>
          <w:color w:val="000000" w:themeColor="text1"/>
        </w:rPr>
        <w:t xml:space="preserve">of </w:t>
      </w:r>
      <w:r w:rsidR="00896882">
        <w:rPr>
          <w:bCs/>
          <w:color w:val="000000" w:themeColor="text1"/>
        </w:rPr>
        <w:t xml:space="preserve">investments </w:t>
      </w:r>
      <w:r w:rsidR="009F0400">
        <w:rPr>
          <w:bCs/>
          <w:color w:val="000000" w:themeColor="text1"/>
        </w:rPr>
        <w:t xml:space="preserve">held </w:t>
      </w:r>
      <w:r w:rsidR="003A4BB5">
        <w:rPr>
          <w:bCs/>
          <w:color w:val="000000" w:themeColor="text1"/>
        </w:rPr>
        <w:t xml:space="preserve">and finite officer resources </w:t>
      </w:r>
      <w:r w:rsidR="00AE4258">
        <w:rPr>
          <w:bCs/>
          <w:color w:val="000000" w:themeColor="text1"/>
        </w:rPr>
        <w:t>mean</w:t>
      </w:r>
      <w:r w:rsidR="00896882">
        <w:rPr>
          <w:bCs/>
          <w:color w:val="000000" w:themeColor="text1"/>
        </w:rPr>
        <w:t xml:space="preserve"> engage</w:t>
      </w:r>
      <w:r w:rsidR="00C6463B">
        <w:rPr>
          <w:bCs/>
          <w:color w:val="000000" w:themeColor="text1"/>
        </w:rPr>
        <w:t>ment</w:t>
      </w:r>
      <w:r w:rsidR="00896882">
        <w:rPr>
          <w:bCs/>
          <w:color w:val="000000" w:themeColor="text1"/>
        </w:rPr>
        <w:t xml:space="preserve"> </w:t>
      </w:r>
      <w:r w:rsidR="009F0400">
        <w:rPr>
          <w:bCs/>
          <w:color w:val="000000" w:themeColor="text1"/>
        </w:rPr>
        <w:t>activities</w:t>
      </w:r>
      <w:r w:rsidR="00C6463B">
        <w:rPr>
          <w:bCs/>
          <w:color w:val="000000" w:themeColor="text1"/>
        </w:rPr>
        <w:t xml:space="preserve"> </w:t>
      </w:r>
      <w:r w:rsidR="00CA1DD7">
        <w:rPr>
          <w:bCs/>
          <w:color w:val="000000" w:themeColor="text1"/>
        </w:rPr>
        <w:t xml:space="preserve">to date have </w:t>
      </w:r>
      <w:r w:rsidR="005353E9">
        <w:rPr>
          <w:bCs/>
          <w:color w:val="000000" w:themeColor="text1"/>
        </w:rPr>
        <w:t>focussed on</w:t>
      </w:r>
      <w:r w:rsidR="00CA1DD7">
        <w:rPr>
          <w:bCs/>
          <w:color w:val="000000" w:themeColor="text1"/>
        </w:rPr>
        <w:t xml:space="preserve"> </w:t>
      </w:r>
      <w:r w:rsidR="00AE4258">
        <w:rPr>
          <w:bCs/>
          <w:color w:val="000000" w:themeColor="text1"/>
        </w:rPr>
        <w:t xml:space="preserve">working </w:t>
      </w:r>
      <w:r w:rsidR="003A4BB5">
        <w:rPr>
          <w:bCs/>
          <w:color w:val="000000" w:themeColor="text1"/>
        </w:rPr>
        <w:t>through</w:t>
      </w:r>
      <w:r w:rsidR="00AE4258">
        <w:rPr>
          <w:bCs/>
          <w:color w:val="000000" w:themeColor="text1"/>
        </w:rPr>
        <w:t xml:space="preserve"> partnerships</w:t>
      </w:r>
      <w:r w:rsidR="00896882">
        <w:rPr>
          <w:bCs/>
          <w:color w:val="000000" w:themeColor="text1"/>
        </w:rPr>
        <w:t xml:space="preserve"> </w:t>
      </w:r>
      <w:r w:rsidR="005353E9">
        <w:rPr>
          <w:bCs/>
          <w:color w:val="000000" w:themeColor="text1"/>
        </w:rPr>
        <w:t xml:space="preserve">which bring additional </w:t>
      </w:r>
      <w:r w:rsidR="003A4BB5">
        <w:rPr>
          <w:bCs/>
          <w:color w:val="000000" w:themeColor="text1"/>
        </w:rPr>
        <w:t xml:space="preserve">capacity </w:t>
      </w:r>
      <w:r w:rsidR="00896882">
        <w:rPr>
          <w:bCs/>
          <w:color w:val="000000" w:themeColor="text1"/>
        </w:rPr>
        <w:t xml:space="preserve">and </w:t>
      </w:r>
      <w:r w:rsidR="005353E9">
        <w:rPr>
          <w:bCs/>
          <w:color w:val="000000" w:themeColor="text1"/>
        </w:rPr>
        <w:t xml:space="preserve">are </w:t>
      </w:r>
      <w:r w:rsidR="003B07E2">
        <w:rPr>
          <w:bCs/>
          <w:color w:val="000000" w:themeColor="text1"/>
        </w:rPr>
        <w:t>likely</w:t>
      </w:r>
      <w:r w:rsidR="00E25A8E">
        <w:rPr>
          <w:bCs/>
          <w:color w:val="000000" w:themeColor="text1"/>
        </w:rPr>
        <w:t xml:space="preserve"> </w:t>
      </w:r>
      <w:r w:rsidR="005353E9">
        <w:rPr>
          <w:bCs/>
          <w:color w:val="000000" w:themeColor="text1"/>
        </w:rPr>
        <w:t xml:space="preserve">to </w:t>
      </w:r>
      <w:r w:rsidR="00AE4258">
        <w:rPr>
          <w:bCs/>
          <w:color w:val="000000" w:themeColor="text1"/>
        </w:rPr>
        <w:t xml:space="preserve">achieve </w:t>
      </w:r>
      <w:r w:rsidR="009F0400">
        <w:rPr>
          <w:bCs/>
          <w:color w:val="000000" w:themeColor="text1"/>
        </w:rPr>
        <w:t>impact</w:t>
      </w:r>
      <w:r w:rsidR="00896882">
        <w:rPr>
          <w:bCs/>
          <w:color w:val="000000" w:themeColor="text1"/>
        </w:rPr>
        <w:t xml:space="preserve">. </w:t>
      </w:r>
      <w:r w:rsidR="005353E9">
        <w:rPr>
          <w:bCs/>
          <w:color w:val="000000" w:themeColor="text1"/>
        </w:rPr>
        <w:t>Specifically, t</w:t>
      </w:r>
      <w:r w:rsidR="00896882">
        <w:rPr>
          <w:bCs/>
          <w:color w:val="000000" w:themeColor="text1"/>
        </w:rPr>
        <w:t xml:space="preserve">he Fund is </w:t>
      </w:r>
      <w:r w:rsidRPr="00C22C3A">
        <w:rPr>
          <w:bCs/>
          <w:color w:val="000000" w:themeColor="text1"/>
        </w:rPr>
        <w:t xml:space="preserve">a member of </w:t>
      </w:r>
      <w:r w:rsidR="005353E9">
        <w:rPr>
          <w:bCs/>
          <w:color w:val="000000" w:themeColor="text1"/>
        </w:rPr>
        <w:t xml:space="preserve">the </w:t>
      </w:r>
      <w:r w:rsidR="00171DB5" w:rsidRPr="00C22C3A">
        <w:rPr>
          <w:bCs/>
          <w:color w:val="000000" w:themeColor="text1"/>
        </w:rPr>
        <w:t>Local Autho</w:t>
      </w:r>
      <w:r w:rsidR="00330D43" w:rsidRPr="00C22C3A">
        <w:rPr>
          <w:bCs/>
          <w:color w:val="000000" w:themeColor="text1"/>
        </w:rPr>
        <w:t>rity Pension Fund Forum (LAPFF)</w:t>
      </w:r>
      <w:r w:rsidR="00171DB5" w:rsidRPr="00C22C3A">
        <w:rPr>
          <w:bCs/>
          <w:color w:val="000000" w:themeColor="text1"/>
        </w:rPr>
        <w:t xml:space="preserve"> which exists to promote the investment interests o</w:t>
      </w:r>
      <w:r w:rsidR="00330D43" w:rsidRPr="00C22C3A">
        <w:rPr>
          <w:bCs/>
          <w:color w:val="000000" w:themeColor="text1"/>
        </w:rPr>
        <w:t xml:space="preserve">f local authority pension funds. </w:t>
      </w:r>
    </w:p>
    <w:p w:rsidR="00C6463B" w:rsidRDefault="00C6463B" w:rsidP="00C6463B">
      <w:pPr>
        <w:rPr>
          <w:bCs/>
          <w:color w:val="000000" w:themeColor="text1"/>
        </w:rPr>
      </w:pPr>
    </w:p>
    <w:p w:rsidR="00C6463B" w:rsidRPr="00C22C3A" w:rsidRDefault="00C6463B" w:rsidP="00C6463B">
      <w:pPr>
        <w:rPr>
          <w:bCs/>
          <w:color w:val="000000" w:themeColor="text1"/>
        </w:rPr>
      </w:pPr>
      <w:r w:rsidRPr="00C22C3A">
        <w:rPr>
          <w:bCs/>
          <w:color w:val="000000" w:themeColor="text1"/>
        </w:rPr>
        <w:t xml:space="preserve">Working collaboratively </w:t>
      </w:r>
      <w:r>
        <w:rPr>
          <w:bCs/>
          <w:color w:val="000000" w:themeColor="text1"/>
        </w:rPr>
        <w:t xml:space="preserve">via </w:t>
      </w:r>
      <w:r w:rsidRPr="00C22C3A">
        <w:rPr>
          <w:bCs/>
          <w:color w:val="000000" w:themeColor="text1"/>
        </w:rPr>
        <w:t xml:space="preserve">LAPFF offers </w:t>
      </w:r>
      <w:r>
        <w:rPr>
          <w:bCs/>
          <w:color w:val="000000" w:themeColor="text1"/>
        </w:rPr>
        <w:t xml:space="preserve">a </w:t>
      </w:r>
      <w:r w:rsidRPr="00C22C3A">
        <w:rPr>
          <w:bCs/>
          <w:color w:val="000000" w:themeColor="text1"/>
        </w:rPr>
        <w:t xml:space="preserve">valuable opportunity to gain experience and insight from other funds </w:t>
      </w:r>
      <w:r w:rsidR="009F0400">
        <w:rPr>
          <w:bCs/>
          <w:color w:val="000000" w:themeColor="text1"/>
        </w:rPr>
        <w:t xml:space="preserve">and </w:t>
      </w:r>
      <w:r w:rsidR="003A4BB5">
        <w:rPr>
          <w:bCs/>
          <w:color w:val="000000" w:themeColor="text1"/>
        </w:rPr>
        <w:t>puts</w:t>
      </w:r>
      <w:r w:rsidR="00372A2F">
        <w:rPr>
          <w:bCs/>
          <w:color w:val="000000" w:themeColor="text1"/>
        </w:rPr>
        <w:t xml:space="preserve"> Lancashire's support behind</w:t>
      </w:r>
      <w:r>
        <w:rPr>
          <w:bCs/>
          <w:color w:val="000000" w:themeColor="text1"/>
        </w:rPr>
        <w:t xml:space="preserve"> </w:t>
      </w:r>
      <w:r w:rsidRPr="00C22C3A">
        <w:rPr>
          <w:bCs/>
          <w:color w:val="000000" w:themeColor="text1"/>
        </w:rPr>
        <w:t xml:space="preserve">campaigns targeted at </w:t>
      </w:r>
      <w:r w:rsidR="009F0400">
        <w:rPr>
          <w:bCs/>
          <w:color w:val="000000" w:themeColor="text1"/>
        </w:rPr>
        <w:t xml:space="preserve">the </w:t>
      </w:r>
      <w:r w:rsidR="004E4E5F">
        <w:rPr>
          <w:bCs/>
          <w:color w:val="000000" w:themeColor="text1"/>
        </w:rPr>
        <w:t xml:space="preserve">companies </w:t>
      </w:r>
      <w:r>
        <w:rPr>
          <w:bCs/>
          <w:color w:val="000000" w:themeColor="text1"/>
        </w:rPr>
        <w:t xml:space="preserve">invested in </w:t>
      </w:r>
      <w:r w:rsidR="00AE4258">
        <w:rPr>
          <w:bCs/>
          <w:color w:val="000000" w:themeColor="text1"/>
        </w:rPr>
        <w:t xml:space="preserve">collectively </w:t>
      </w:r>
      <w:r>
        <w:rPr>
          <w:bCs/>
          <w:color w:val="000000" w:themeColor="text1"/>
        </w:rPr>
        <w:t xml:space="preserve">by </w:t>
      </w:r>
      <w:r w:rsidR="004E4E5F">
        <w:rPr>
          <w:bCs/>
          <w:color w:val="000000" w:themeColor="text1"/>
        </w:rPr>
        <w:t>l</w:t>
      </w:r>
      <w:r w:rsidR="003B07E2">
        <w:rPr>
          <w:bCs/>
          <w:color w:val="000000" w:themeColor="text1"/>
        </w:rPr>
        <w:t>ocal authority pension schemes</w:t>
      </w:r>
      <w:r w:rsidR="009F0400">
        <w:rPr>
          <w:bCs/>
          <w:color w:val="000000" w:themeColor="text1"/>
        </w:rPr>
        <w:t xml:space="preserve"> in the UK</w:t>
      </w:r>
      <w:r w:rsidRPr="00C22C3A">
        <w:rPr>
          <w:bCs/>
          <w:color w:val="000000" w:themeColor="text1"/>
        </w:rPr>
        <w:t xml:space="preserve">. </w:t>
      </w:r>
      <w:r w:rsidR="00723B9A">
        <w:rPr>
          <w:bCs/>
          <w:color w:val="000000" w:themeColor="text1"/>
        </w:rPr>
        <w:t xml:space="preserve">Joint actions wield </w:t>
      </w:r>
      <w:r w:rsidR="00AE4258">
        <w:rPr>
          <w:bCs/>
          <w:color w:val="000000" w:themeColor="text1"/>
        </w:rPr>
        <w:t xml:space="preserve">far </w:t>
      </w:r>
      <w:r w:rsidR="00372A2F">
        <w:rPr>
          <w:bCs/>
          <w:color w:val="000000" w:themeColor="text1"/>
        </w:rPr>
        <w:t xml:space="preserve">greater influence and </w:t>
      </w:r>
      <w:r w:rsidR="00B27182">
        <w:rPr>
          <w:bCs/>
          <w:color w:val="000000" w:themeColor="text1"/>
        </w:rPr>
        <w:t xml:space="preserve">create </w:t>
      </w:r>
      <w:r w:rsidR="00723B9A">
        <w:rPr>
          <w:bCs/>
          <w:color w:val="000000" w:themeColor="text1"/>
        </w:rPr>
        <w:t xml:space="preserve">a </w:t>
      </w:r>
      <w:r w:rsidR="009F0400">
        <w:rPr>
          <w:bCs/>
          <w:color w:val="000000" w:themeColor="text1"/>
        </w:rPr>
        <w:t xml:space="preserve">much </w:t>
      </w:r>
      <w:r w:rsidR="00805CC0">
        <w:rPr>
          <w:bCs/>
          <w:color w:val="000000" w:themeColor="text1"/>
        </w:rPr>
        <w:t xml:space="preserve">stronger </w:t>
      </w:r>
      <w:r w:rsidR="00723B9A">
        <w:rPr>
          <w:bCs/>
          <w:color w:val="000000" w:themeColor="text1"/>
        </w:rPr>
        <w:t>impetus for change</w:t>
      </w:r>
      <w:r w:rsidR="009F0400">
        <w:rPr>
          <w:bCs/>
          <w:color w:val="000000" w:themeColor="text1"/>
        </w:rPr>
        <w:t xml:space="preserve"> than working alone</w:t>
      </w:r>
      <w:r w:rsidR="00AE4258">
        <w:rPr>
          <w:bCs/>
          <w:color w:val="000000" w:themeColor="text1"/>
        </w:rPr>
        <w:t xml:space="preserve"> and </w:t>
      </w:r>
      <w:r w:rsidR="003A4BB5">
        <w:rPr>
          <w:bCs/>
          <w:color w:val="000000" w:themeColor="text1"/>
        </w:rPr>
        <w:t xml:space="preserve">also </w:t>
      </w:r>
      <w:r w:rsidR="00805CC0">
        <w:rPr>
          <w:bCs/>
          <w:color w:val="000000" w:themeColor="text1"/>
        </w:rPr>
        <w:t xml:space="preserve">help to </w:t>
      </w:r>
      <w:r w:rsidR="00723B9A">
        <w:rPr>
          <w:bCs/>
          <w:color w:val="000000" w:themeColor="text1"/>
        </w:rPr>
        <w:t xml:space="preserve">fulfil the </w:t>
      </w:r>
      <w:r w:rsidR="009F0400">
        <w:rPr>
          <w:bCs/>
          <w:color w:val="000000" w:themeColor="text1"/>
        </w:rPr>
        <w:t xml:space="preserve">Fund's </w:t>
      </w:r>
      <w:r>
        <w:rPr>
          <w:bCs/>
          <w:color w:val="000000" w:themeColor="text1"/>
        </w:rPr>
        <w:t>commitment</w:t>
      </w:r>
      <w:r w:rsidR="009F0400">
        <w:rPr>
          <w:bCs/>
          <w:color w:val="000000" w:themeColor="text1"/>
        </w:rPr>
        <w:t xml:space="preserve"> (as a recent signatory of the United Nations Principles of Responsible Investment) to work</w:t>
      </w:r>
      <w:r w:rsidR="00AE4258">
        <w:rPr>
          <w:bCs/>
          <w:color w:val="000000" w:themeColor="text1"/>
        </w:rPr>
        <w:t>ing</w:t>
      </w:r>
      <w:r w:rsidR="009F0400">
        <w:rPr>
          <w:bCs/>
          <w:color w:val="000000" w:themeColor="text1"/>
        </w:rPr>
        <w:t xml:space="preserve"> together to further the 6 principles of Responsible Investment. As part of developing its approach to RI it is intended </w:t>
      </w:r>
      <w:r w:rsidR="00B27182">
        <w:rPr>
          <w:bCs/>
          <w:color w:val="000000" w:themeColor="text1"/>
        </w:rPr>
        <w:t xml:space="preserve">that the Fund will </w:t>
      </w:r>
      <w:r w:rsidR="00AE4258">
        <w:rPr>
          <w:bCs/>
          <w:color w:val="000000" w:themeColor="text1"/>
        </w:rPr>
        <w:t xml:space="preserve">increase its </w:t>
      </w:r>
      <w:r w:rsidR="00B27182">
        <w:rPr>
          <w:bCs/>
          <w:color w:val="000000" w:themeColor="text1"/>
        </w:rPr>
        <w:t>involvement with LAPFF</w:t>
      </w:r>
      <w:r w:rsidR="00AE4258">
        <w:rPr>
          <w:bCs/>
          <w:color w:val="000000" w:themeColor="text1"/>
        </w:rPr>
        <w:t xml:space="preserve"> and </w:t>
      </w:r>
      <w:r w:rsidR="003A4BB5">
        <w:rPr>
          <w:bCs/>
          <w:color w:val="000000" w:themeColor="text1"/>
        </w:rPr>
        <w:t xml:space="preserve">explore </w:t>
      </w:r>
      <w:r w:rsidR="00AE4258">
        <w:rPr>
          <w:bCs/>
          <w:color w:val="000000" w:themeColor="text1"/>
        </w:rPr>
        <w:t xml:space="preserve">the opportunities associated with membership of the forum. </w:t>
      </w:r>
    </w:p>
    <w:p w:rsidR="00984983" w:rsidRDefault="00984983" w:rsidP="00E25A8E">
      <w:pPr>
        <w:rPr>
          <w:bCs/>
          <w:color w:val="000000" w:themeColor="text1"/>
        </w:rPr>
      </w:pPr>
    </w:p>
    <w:p w:rsidR="00B27182" w:rsidRPr="005353E9" w:rsidRDefault="009F0400" w:rsidP="00B27182">
      <w:pPr>
        <w:pStyle w:val="Default"/>
      </w:pPr>
      <w:r w:rsidRPr="005353E9">
        <w:rPr>
          <w:bCs/>
          <w:color w:val="000000" w:themeColor="text1"/>
        </w:rPr>
        <w:t>From</w:t>
      </w:r>
      <w:r w:rsidR="00B27182" w:rsidRPr="005353E9">
        <w:rPr>
          <w:bCs/>
          <w:color w:val="000000" w:themeColor="text1"/>
        </w:rPr>
        <w:t xml:space="preserve"> 2015, LAPFF is seeking to offer its members the benefit of a mentoring scheme intended to provide additional support to investment officers and managers within the local authority pensions sector. The scheme will be </w:t>
      </w:r>
      <w:r w:rsidR="00B27182" w:rsidRPr="005353E9">
        <w:t xml:space="preserve">widened to include councillors (as trustee equivalents) if there is a sufficient demand for this. </w:t>
      </w:r>
      <w:r w:rsidRPr="005353E9">
        <w:rPr>
          <w:color w:val="000000" w:themeColor="text1"/>
        </w:rPr>
        <w:t>Further details of</w:t>
      </w:r>
      <w:r w:rsidR="00B27182" w:rsidRPr="005353E9">
        <w:rPr>
          <w:color w:val="000000" w:themeColor="text1"/>
        </w:rPr>
        <w:t xml:space="preserve"> the scheme are attached at Appendix C and a copy of the application fo</w:t>
      </w:r>
      <w:r w:rsidR="005353E9">
        <w:rPr>
          <w:color w:val="000000" w:themeColor="text1"/>
        </w:rPr>
        <w:t>rm at Appendix D.  The Committee is</w:t>
      </w:r>
      <w:r w:rsidR="00B27182" w:rsidRPr="005353E9">
        <w:rPr>
          <w:color w:val="000000" w:themeColor="text1"/>
        </w:rPr>
        <w:t xml:space="preserve"> asked to consider whether the opportunity for one or more </w:t>
      </w:r>
      <w:r w:rsidR="005353E9">
        <w:rPr>
          <w:color w:val="000000" w:themeColor="text1"/>
        </w:rPr>
        <w:t>members</w:t>
      </w:r>
      <w:r w:rsidR="00B27182" w:rsidRPr="005353E9">
        <w:rPr>
          <w:color w:val="000000" w:themeColor="text1"/>
        </w:rPr>
        <w:t xml:space="preserve"> to participate in the LAPFF mentoring scheme is something they would like to pursue either now or in the future. </w:t>
      </w:r>
    </w:p>
    <w:p w:rsidR="00B27182" w:rsidRPr="005353E9" w:rsidRDefault="00B27182" w:rsidP="00DA1690">
      <w:pPr>
        <w:pStyle w:val="Default"/>
        <w:rPr>
          <w:bCs/>
          <w:color w:val="000000" w:themeColor="text1"/>
        </w:rPr>
      </w:pPr>
    </w:p>
    <w:p w:rsidR="00DA1690" w:rsidRPr="005353E9" w:rsidRDefault="004320B4" w:rsidP="00DA1690">
      <w:pPr>
        <w:pStyle w:val="Default"/>
      </w:pPr>
      <w:r w:rsidRPr="005353E9">
        <w:rPr>
          <w:bCs/>
          <w:color w:val="000000" w:themeColor="text1"/>
        </w:rPr>
        <w:t xml:space="preserve">Details of </w:t>
      </w:r>
      <w:r w:rsidR="00805CC0" w:rsidRPr="005353E9">
        <w:rPr>
          <w:bCs/>
          <w:color w:val="000000" w:themeColor="text1"/>
        </w:rPr>
        <w:t xml:space="preserve">engagement </w:t>
      </w:r>
      <w:r w:rsidR="00984983" w:rsidRPr="005353E9">
        <w:rPr>
          <w:bCs/>
          <w:color w:val="000000" w:themeColor="text1"/>
        </w:rPr>
        <w:t xml:space="preserve">activities undertaken </w:t>
      </w:r>
      <w:r w:rsidR="00E640E1" w:rsidRPr="005353E9">
        <w:rPr>
          <w:bCs/>
          <w:color w:val="000000" w:themeColor="text1"/>
        </w:rPr>
        <w:t xml:space="preserve">by LAPFF </w:t>
      </w:r>
      <w:r w:rsidRPr="005353E9">
        <w:rPr>
          <w:bCs/>
          <w:color w:val="000000" w:themeColor="text1"/>
        </w:rPr>
        <w:t>are set out in the latest engagement report at Appendix B</w:t>
      </w:r>
      <w:r w:rsidR="00805CC0" w:rsidRPr="005353E9">
        <w:rPr>
          <w:bCs/>
          <w:color w:val="000000" w:themeColor="text1"/>
        </w:rPr>
        <w:t xml:space="preserve"> which reflects the period from 1 January 2015 to 31 March 2015</w:t>
      </w:r>
      <w:r w:rsidR="00984983" w:rsidRPr="005353E9">
        <w:rPr>
          <w:bCs/>
          <w:color w:val="000000" w:themeColor="text1"/>
        </w:rPr>
        <w:t>.</w:t>
      </w:r>
      <w:r w:rsidR="006752C7" w:rsidRPr="005353E9">
        <w:rPr>
          <w:bCs/>
          <w:color w:val="000000" w:themeColor="text1"/>
        </w:rPr>
        <w:t xml:space="preserve"> </w:t>
      </w:r>
      <w:r w:rsidR="00372A2F" w:rsidRPr="005353E9">
        <w:rPr>
          <w:bCs/>
          <w:color w:val="000000" w:themeColor="text1"/>
        </w:rPr>
        <w:t xml:space="preserve">Of greatest note was </w:t>
      </w:r>
      <w:r w:rsidR="00AE4258">
        <w:rPr>
          <w:bCs/>
          <w:color w:val="000000" w:themeColor="text1"/>
        </w:rPr>
        <w:t>a</w:t>
      </w:r>
      <w:r w:rsidR="005353E9">
        <w:rPr>
          <w:bCs/>
          <w:color w:val="000000" w:themeColor="text1"/>
        </w:rPr>
        <w:t xml:space="preserve"> </w:t>
      </w:r>
      <w:r w:rsidR="00372A2F" w:rsidRPr="005353E9">
        <w:rPr>
          <w:bCs/>
          <w:color w:val="000000" w:themeColor="text1"/>
        </w:rPr>
        <w:t>r</w:t>
      </w:r>
      <w:r w:rsidR="00DA1690" w:rsidRPr="005353E9">
        <w:rPr>
          <w:bCs/>
          <w:color w:val="000000" w:themeColor="text1"/>
        </w:rPr>
        <w:t>ecommendation (</w:t>
      </w:r>
      <w:r w:rsidR="00B27182" w:rsidRPr="005353E9">
        <w:rPr>
          <w:bCs/>
          <w:color w:val="000000" w:themeColor="text1"/>
        </w:rPr>
        <w:t>by the Boards of</w:t>
      </w:r>
      <w:r w:rsidR="00150904" w:rsidRPr="005353E9">
        <w:rPr>
          <w:bCs/>
          <w:color w:val="000000" w:themeColor="text1"/>
        </w:rPr>
        <w:t xml:space="preserve"> BP and Shell) that </w:t>
      </w:r>
      <w:r w:rsidR="00372A2F" w:rsidRPr="005353E9">
        <w:rPr>
          <w:bCs/>
          <w:color w:val="000000" w:themeColor="text1"/>
        </w:rPr>
        <w:t xml:space="preserve">shareholders </w:t>
      </w:r>
      <w:r w:rsidR="00DA1690" w:rsidRPr="005353E9">
        <w:t xml:space="preserve">should support </w:t>
      </w:r>
      <w:r w:rsidR="00150904" w:rsidRPr="005353E9">
        <w:t xml:space="preserve">‘strategic resilience' </w:t>
      </w:r>
      <w:r w:rsidR="00DA1690" w:rsidRPr="005353E9">
        <w:t xml:space="preserve">resolutions filed by </w:t>
      </w:r>
      <w:r w:rsidR="00150904" w:rsidRPr="005353E9">
        <w:t>LAPFF members as part</w:t>
      </w:r>
      <w:r w:rsidR="004E4E5F" w:rsidRPr="005353E9">
        <w:t>ners</w:t>
      </w:r>
      <w:r w:rsidR="00372A2F" w:rsidRPr="005353E9">
        <w:t xml:space="preserve"> within </w:t>
      </w:r>
      <w:r w:rsidR="00DA1690" w:rsidRPr="005353E9">
        <w:t xml:space="preserve">the </w:t>
      </w:r>
      <w:r w:rsidR="00D97286">
        <w:t>'</w:t>
      </w:r>
      <w:r w:rsidR="00DA1690" w:rsidRPr="005353E9">
        <w:t>Aiming for A</w:t>
      </w:r>
      <w:r w:rsidR="00D97286">
        <w:t>'</w:t>
      </w:r>
      <w:r w:rsidR="00DA1690" w:rsidRPr="005353E9">
        <w:t xml:space="preserve"> coa</w:t>
      </w:r>
      <w:r w:rsidR="00150904" w:rsidRPr="005353E9">
        <w:t>lition</w:t>
      </w:r>
      <w:r w:rsidR="004E4E5F" w:rsidRPr="005353E9">
        <w:t>. It is unprecedented in the UK for a company to recommend support for</w:t>
      </w:r>
      <w:r w:rsidR="00DA1690" w:rsidRPr="005353E9">
        <w:t xml:space="preserve"> a shareholder resolution</w:t>
      </w:r>
      <w:r w:rsidR="00AE4258">
        <w:t xml:space="preserve"> and </w:t>
      </w:r>
      <w:r w:rsidR="00DA1690" w:rsidRPr="005353E9">
        <w:t xml:space="preserve">reflects the positive </w:t>
      </w:r>
      <w:r w:rsidR="00AE4258">
        <w:t xml:space="preserve">impact of </w:t>
      </w:r>
      <w:r w:rsidR="00DA1690" w:rsidRPr="005353E9">
        <w:t xml:space="preserve">engagement </w:t>
      </w:r>
      <w:r w:rsidR="00CE77AF" w:rsidRPr="005353E9">
        <w:t xml:space="preserve">activity </w:t>
      </w:r>
      <w:r w:rsidR="00DA1690" w:rsidRPr="005353E9">
        <w:t>by the coalition</w:t>
      </w:r>
      <w:r w:rsidR="00AE4258">
        <w:t xml:space="preserve"> on</w:t>
      </w:r>
      <w:r w:rsidR="004E4E5F" w:rsidRPr="005353E9">
        <w:rPr>
          <w:bCs/>
          <w:color w:val="000000" w:themeColor="text1"/>
        </w:rPr>
        <w:t xml:space="preserve"> a </w:t>
      </w:r>
      <w:r w:rsidR="00372A2F" w:rsidRPr="005353E9">
        <w:rPr>
          <w:bCs/>
          <w:color w:val="000000" w:themeColor="text1"/>
        </w:rPr>
        <w:t xml:space="preserve">campaign aimed at </w:t>
      </w:r>
      <w:r w:rsidR="004E4E5F" w:rsidRPr="005353E9">
        <w:rPr>
          <w:bCs/>
          <w:color w:val="000000" w:themeColor="text1"/>
        </w:rPr>
        <w:t>improv</w:t>
      </w:r>
      <w:r w:rsidR="00B27182" w:rsidRPr="005353E9">
        <w:rPr>
          <w:bCs/>
          <w:color w:val="000000" w:themeColor="text1"/>
        </w:rPr>
        <w:t>ing</w:t>
      </w:r>
      <w:r w:rsidR="00372A2F" w:rsidRPr="005353E9">
        <w:rPr>
          <w:bCs/>
          <w:color w:val="000000" w:themeColor="text1"/>
        </w:rPr>
        <w:t xml:space="preserve"> carbon disclosure and </w:t>
      </w:r>
      <w:r w:rsidR="00B27182" w:rsidRPr="005353E9">
        <w:rPr>
          <w:bCs/>
          <w:color w:val="000000" w:themeColor="text1"/>
        </w:rPr>
        <w:t xml:space="preserve">gaining </w:t>
      </w:r>
      <w:r w:rsidR="004E4E5F" w:rsidRPr="005353E9">
        <w:rPr>
          <w:bCs/>
          <w:color w:val="000000" w:themeColor="text1"/>
        </w:rPr>
        <w:t>a commitment to greater environmental sustainability through research</w:t>
      </w:r>
      <w:r w:rsidR="00B27182" w:rsidRPr="005353E9">
        <w:rPr>
          <w:bCs/>
          <w:color w:val="000000" w:themeColor="text1"/>
        </w:rPr>
        <w:t>,</w:t>
      </w:r>
      <w:r w:rsidR="004E4E5F" w:rsidRPr="005353E9">
        <w:rPr>
          <w:bCs/>
          <w:color w:val="000000" w:themeColor="text1"/>
        </w:rPr>
        <w:t xml:space="preserve"> development and</w:t>
      </w:r>
      <w:r w:rsidR="005353E9">
        <w:rPr>
          <w:bCs/>
          <w:color w:val="000000" w:themeColor="text1"/>
        </w:rPr>
        <w:t xml:space="preserve"> forward</w:t>
      </w:r>
      <w:r w:rsidR="004E4E5F" w:rsidRPr="005353E9">
        <w:rPr>
          <w:bCs/>
          <w:color w:val="000000" w:themeColor="text1"/>
        </w:rPr>
        <w:t xml:space="preserve"> investment</w:t>
      </w:r>
      <w:r w:rsidR="00372A2F" w:rsidRPr="005353E9">
        <w:t>.</w:t>
      </w:r>
      <w:r w:rsidR="0026047A">
        <w:t xml:space="preserve"> While the Fund would have been supportive of these resolutions as it did not have holdings in either company it was unable to vote on these resolutions.</w:t>
      </w:r>
    </w:p>
    <w:p w:rsidR="00DB1028" w:rsidRDefault="00DB1028" w:rsidP="00DB1028">
      <w:pPr>
        <w:rPr>
          <w:rFonts w:cs="Arial"/>
          <w:b/>
          <w:color w:val="000000" w:themeColor="text1"/>
          <w:szCs w:val="24"/>
        </w:rPr>
      </w:pPr>
    </w:p>
    <w:p w:rsidR="000D2A08" w:rsidRPr="007B01EE" w:rsidRDefault="00D97286" w:rsidP="00DB1028">
      <w:pPr>
        <w:rPr>
          <w:rFonts w:cs="Arial"/>
          <w:b/>
          <w:color w:val="000000" w:themeColor="text1"/>
          <w:sz w:val="22"/>
          <w:szCs w:val="22"/>
        </w:rPr>
      </w:pPr>
      <w:r w:rsidRPr="000D615C">
        <w:rPr>
          <w:rFonts w:cs="Arial"/>
          <w:b/>
          <w:color w:val="000000" w:themeColor="text1"/>
          <w:szCs w:val="24"/>
        </w:rPr>
        <w:t>3</w:t>
      </w:r>
      <w:r>
        <w:rPr>
          <w:rFonts w:cs="Arial"/>
          <w:i/>
          <w:color w:val="000000" w:themeColor="text1"/>
          <w:szCs w:val="24"/>
        </w:rPr>
        <w:t>.</w:t>
      </w:r>
      <w:r w:rsidR="0016562E" w:rsidRPr="005F3B49">
        <w:rPr>
          <w:rFonts w:cs="Arial"/>
          <w:i/>
          <w:color w:val="000000" w:themeColor="text1"/>
          <w:szCs w:val="24"/>
        </w:rPr>
        <w:t xml:space="preserve"> </w:t>
      </w:r>
      <w:r w:rsidR="00DB1028">
        <w:rPr>
          <w:rFonts w:cs="Arial"/>
          <w:i/>
          <w:color w:val="000000" w:themeColor="text1"/>
          <w:szCs w:val="24"/>
        </w:rPr>
        <w:tab/>
      </w:r>
      <w:r w:rsidR="0016562E" w:rsidRPr="007B01EE">
        <w:rPr>
          <w:rFonts w:cs="Arial"/>
          <w:b/>
          <w:color w:val="000000" w:themeColor="text1"/>
          <w:sz w:val="22"/>
          <w:szCs w:val="22"/>
        </w:rPr>
        <w:t>Shareholder Litigation</w:t>
      </w:r>
      <w:r w:rsidR="000D2A08" w:rsidRPr="007B01EE">
        <w:rPr>
          <w:rFonts w:cs="Arial"/>
          <w:b/>
          <w:color w:val="000000" w:themeColor="text1"/>
          <w:sz w:val="22"/>
          <w:szCs w:val="22"/>
        </w:rPr>
        <w:t xml:space="preserve"> </w:t>
      </w:r>
    </w:p>
    <w:p w:rsidR="00D97286" w:rsidRDefault="00D97286" w:rsidP="003F41CB">
      <w:pPr>
        <w:autoSpaceDE w:val="0"/>
        <w:autoSpaceDN w:val="0"/>
        <w:adjustRightInd w:val="0"/>
        <w:rPr>
          <w:rFonts w:cs="Arial"/>
          <w:color w:val="000000" w:themeColor="text1"/>
          <w:szCs w:val="24"/>
        </w:rPr>
      </w:pPr>
    </w:p>
    <w:p w:rsidR="000D2A08" w:rsidRPr="00B743BE" w:rsidRDefault="000D2A08" w:rsidP="003F41CB">
      <w:pPr>
        <w:autoSpaceDE w:val="0"/>
        <w:autoSpaceDN w:val="0"/>
        <w:adjustRightInd w:val="0"/>
        <w:rPr>
          <w:rFonts w:cs="Arial"/>
          <w:color w:val="000000" w:themeColor="text1"/>
          <w:szCs w:val="24"/>
        </w:rPr>
      </w:pPr>
      <w:r w:rsidRPr="00B743BE">
        <w:rPr>
          <w:rFonts w:cs="Arial"/>
          <w:color w:val="000000" w:themeColor="text1"/>
          <w:szCs w:val="24"/>
        </w:rPr>
        <w:t>The F</w:t>
      </w:r>
      <w:r w:rsidR="00E640E1" w:rsidRPr="00B743BE">
        <w:rPr>
          <w:rFonts w:cs="Arial"/>
          <w:color w:val="000000" w:themeColor="text1"/>
          <w:szCs w:val="24"/>
        </w:rPr>
        <w:t xml:space="preserve">und is </w:t>
      </w:r>
      <w:r w:rsidR="004320B4" w:rsidRPr="00B743BE">
        <w:rPr>
          <w:rFonts w:cs="Arial"/>
          <w:color w:val="000000" w:themeColor="text1"/>
          <w:szCs w:val="24"/>
        </w:rPr>
        <w:t>co</w:t>
      </w:r>
      <w:r w:rsidR="00E640E1" w:rsidRPr="00B743BE">
        <w:rPr>
          <w:rFonts w:cs="Arial"/>
          <w:color w:val="000000" w:themeColor="text1"/>
          <w:szCs w:val="24"/>
        </w:rPr>
        <w:t>mmitted</w:t>
      </w:r>
      <w:r w:rsidR="004320B4" w:rsidRPr="00B743BE">
        <w:rPr>
          <w:rFonts w:cs="Arial"/>
          <w:color w:val="000000" w:themeColor="text1"/>
          <w:szCs w:val="24"/>
        </w:rPr>
        <w:t xml:space="preserve"> to </w:t>
      </w:r>
      <w:r w:rsidR="00E45591" w:rsidRPr="00B743BE">
        <w:rPr>
          <w:rFonts w:cs="Arial"/>
          <w:color w:val="000000" w:themeColor="text1"/>
          <w:szCs w:val="24"/>
        </w:rPr>
        <w:t xml:space="preserve">remaining </w:t>
      </w:r>
      <w:r w:rsidRPr="00B743BE">
        <w:rPr>
          <w:rFonts w:cs="Arial"/>
          <w:color w:val="000000" w:themeColor="text1"/>
          <w:szCs w:val="24"/>
        </w:rPr>
        <w:t>informed about the extent to which asset</w:t>
      </w:r>
      <w:r w:rsidR="00E45591" w:rsidRPr="00B743BE">
        <w:rPr>
          <w:rFonts w:cs="Arial"/>
          <w:color w:val="000000" w:themeColor="text1"/>
          <w:szCs w:val="24"/>
        </w:rPr>
        <w:t xml:space="preserve"> value</w:t>
      </w:r>
      <w:r w:rsidRPr="00B743BE">
        <w:rPr>
          <w:rFonts w:cs="Arial"/>
          <w:color w:val="000000" w:themeColor="text1"/>
          <w:szCs w:val="24"/>
        </w:rPr>
        <w:t>s may have been diminished through financial misconduct</w:t>
      </w:r>
      <w:r w:rsidR="00C550C9" w:rsidRPr="00B743BE">
        <w:rPr>
          <w:rFonts w:cs="Arial"/>
          <w:color w:val="000000" w:themeColor="text1"/>
          <w:szCs w:val="24"/>
        </w:rPr>
        <w:t xml:space="preserve"> and </w:t>
      </w:r>
      <w:r w:rsidR="00502A79">
        <w:rPr>
          <w:rFonts w:cs="Arial"/>
          <w:color w:val="000000" w:themeColor="text1"/>
          <w:szCs w:val="24"/>
        </w:rPr>
        <w:t>will take</w:t>
      </w:r>
      <w:r w:rsidR="00C550C9" w:rsidRPr="00B743BE">
        <w:rPr>
          <w:rFonts w:cs="Arial"/>
          <w:color w:val="000000" w:themeColor="text1"/>
          <w:szCs w:val="24"/>
        </w:rPr>
        <w:t xml:space="preserve"> a</w:t>
      </w:r>
      <w:r w:rsidRPr="00B743BE">
        <w:rPr>
          <w:rFonts w:cs="Arial"/>
          <w:color w:val="000000" w:themeColor="text1"/>
          <w:szCs w:val="24"/>
        </w:rPr>
        <w:t xml:space="preserve">ction to </w:t>
      </w:r>
      <w:r w:rsidR="00AA0678">
        <w:rPr>
          <w:rFonts w:cs="Arial"/>
          <w:color w:val="000000" w:themeColor="text1"/>
          <w:szCs w:val="24"/>
        </w:rPr>
        <w:t xml:space="preserve">safeguard the financial interests of members by </w:t>
      </w:r>
      <w:r w:rsidR="00502A79">
        <w:rPr>
          <w:rFonts w:cs="Arial"/>
          <w:color w:val="000000" w:themeColor="text1"/>
          <w:szCs w:val="24"/>
        </w:rPr>
        <w:t xml:space="preserve">seeking to </w:t>
      </w:r>
      <w:r w:rsidRPr="00B743BE">
        <w:rPr>
          <w:rFonts w:cs="Arial"/>
          <w:color w:val="000000" w:themeColor="text1"/>
          <w:szCs w:val="24"/>
        </w:rPr>
        <w:t>recover</w:t>
      </w:r>
      <w:r w:rsidR="00AA0678">
        <w:rPr>
          <w:rFonts w:cs="Arial"/>
          <w:color w:val="000000" w:themeColor="text1"/>
          <w:szCs w:val="24"/>
        </w:rPr>
        <w:t xml:space="preserve"> losses through </w:t>
      </w:r>
      <w:r w:rsidR="00E45591" w:rsidRPr="00B743BE">
        <w:rPr>
          <w:rFonts w:cs="Arial"/>
          <w:color w:val="000000" w:themeColor="text1"/>
          <w:szCs w:val="24"/>
        </w:rPr>
        <w:t xml:space="preserve"> </w:t>
      </w:r>
      <w:r w:rsidR="00E640E1" w:rsidRPr="00B743BE">
        <w:rPr>
          <w:rFonts w:cs="Arial"/>
          <w:color w:val="000000" w:themeColor="text1"/>
          <w:szCs w:val="24"/>
        </w:rPr>
        <w:t>shareholder litigation</w:t>
      </w:r>
      <w:r w:rsidR="00C550C9" w:rsidRPr="00B743BE">
        <w:rPr>
          <w:rFonts w:cs="Arial"/>
          <w:color w:val="000000" w:themeColor="text1"/>
          <w:szCs w:val="24"/>
        </w:rPr>
        <w:t xml:space="preserve">.  </w:t>
      </w:r>
      <w:r w:rsidR="006255A6">
        <w:rPr>
          <w:rFonts w:cs="Arial"/>
          <w:color w:val="000000" w:themeColor="text1"/>
          <w:szCs w:val="24"/>
        </w:rPr>
        <w:t>C</w:t>
      </w:r>
      <w:r w:rsidR="00B743BE">
        <w:rPr>
          <w:rFonts w:cs="Arial"/>
          <w:color w:val="000000" w:themeColor="text1"/>
          <w:szCs w:val="24"/>
        </w:rPr>
        <w:t>lass action</w:t>
      </w:r>
      <w:r w:rsidR="00B743BE" w:rsidRPr="00B743BE">
        <w:rPr>
          <w:rFonts w:cs="Arial"/>
          <w:color w:val="000000" w:themeColor="text1"/>
          <w:szCs w:val="24"/>
        </w:rPr>
        <w:t xml:space="preserve"> settlements </w:t>
      </w:r>
      <w:r w:rsidR="00502A79">
        <w:rPr>
          <w:rFonts w:cs="Arial"/>
          <w:color w:val="000000" w:themeColor="text1"/>
          <w:szCs w:val="24"/>
        </w:rPr>
        <w:t>in the USA</w:t>
      </w:r>
      <w:r w:rsidR="00AA0678">
        <w:rPr>
          <w:rFonts w:cs="Arial"/>
          <w:color w:val="000000" w:themeColor="text1"/>
          <w:szCs w:val="24"/>
        </w:rPr>
        <w:t xml:space="preserve"> </w:t>
      </w:r>
      <w:r w:rsidR="00B743BE" w:rsidRPr="00B743BE">
        <w:rPr>
          <w:rFonts w:cs="Arial"/>
          <w:color w:val="000000" w:themeColor="text1"/>
          <w:szCs w:val="24"/>
        </w:rPr>
        <w:t xml:space="preserve">typically enforce </w:t>
      </w:r>
      <w:r w:rsidR="006255A6">
        <w:rPr>
          <w:rFonts w:cs="Arial"/>
          <w:color w:val="000000" w:themeColor="text1"/>
          <w:szCs w:val="24"/>
        </w:rPr>
        <w:t>both financial</w:t>
      </w:r>
      <w:r w:rsidR="006255A6" w:rsidRPr="00B743BE">
        <w:rPr>
          <w:rFonts w:cs="Arial"/>
          <w:color w:val="000000" w:themeColor="text1"/>
          <w:szCs w:val="24"/>
        </w:rPr>
        <w:t xml:space="preserve"> </w:t>
      </w:r>
      <w:r w:rsidR="006255A6">
        <w:rPr>
          <w:rFonts w:cs="Arial"/>
          <w:color w:val="000000" w:themeColor="text1"/>
          <w:szCs w:val="24"/>
        </w:rPr>
        <w:t>reparations</w:t>
      </w:r>
      <w:r w:rsidR="006255A6" w:rsidRPr="00B743BE">
        <w:rPr>
          <w:rFonts w:cs="Arial"/>
          <w:szCs w:val="24"/>
        </w:rPr>
        <w:t xml:space="preserve"> </w:t>
      </w:r>
      <w:r w:rsidR="006255A6">
        <w:rPr>
          <w:rFonts w:cs="Arial"/>
          <w:szCs w:val="24"/>
        </w:rPr>
        <w:t xml:space="preserve">and </w:t>
      </w:r>
      <w:r w:rsidR="00B743BE" w:rsidRPr="00B743BE">
        <w:rPr>
          <w:rFonts w:cs="Arial"/>
          <w:szCs w:val="24"/>
        </w:rPr>
        <w:t xml:space="preserve">corporate governance reforms </w:t>
      </w:r>
      <w:r w:rsidR="00502A79">
        <w:rPr>
          <w:rFonts w:cs="Arial"/>
          <w:szCs w:val="24"/>
        </w:rPr>
        <w:t xml:space="preserve">which are </w:t>
      </w:r>
      <w:r w:rsidR="00B743BE" w:rsidRPr="00B743BE">
        <w:rPr>
          <w:rFonts w:cs="Arial"/>
          <w:szCs w:val="24"/>
        </w:rPr>
        <w:t>designed to minimize the risk of future misconduct</w:t>
      </w:r>
      <w:r w:rsidR="00502A79">
        <w:rPr>
          <w:rFonts w:cs="Arial"/>
          <w:szCs w:val="24"/>
        </w:rPr>
        <w:t xml:space="preserve">. Litigation </w:t>
      </w:r>
      <w:r w:rsidR="00B27182">
        <w:rPr>
          <w:rFonts w:cs="Arial"/>
          <w:color w:val="000000" w:themeColor="text1"/>
          <w:szCs w:val="24"/>
        </w:rPr>
        <w:t>offer</w:t>
      </w:r>
      <w:r w:rsidR="00502A79">
        <w:rPr>
          <w:rFonts w:cs="Arial"/>
          <w:color w:val="000000" w:themeColor="text1"/>
          <w:szCs w:val="24"/>
        </w:rPr>
        <w:t>s</w:t>
      </w:r>
      <w:r w:rsidR="00B27182">
        <w:rPr>
          <w:rFonts w:cs="Arial"/>
          <w:color w:val="000000" w:themeColor="text1"/>
          <w:szCs w:val="24"/>
        </w:rPr>
        <w:t xml:space="preserve"> </w:t>
      </w:r>
      <w:r w:rsidR="00B743BE">
        <w:rPr>
          <w:rFonts w:cs="Arial"/>
          <w:color w:val="000000" w:themeColor="text1"/>
          <w:szCs w:val="24"/>
        </w:rPr>
        <w:t xml:space="preserve">a </w:t>
      </w:r>
      <w:r w:rsidR="00502A79">
        <w:rPr>
          <w:rFonts w:cs="Arial"/>
          <w:color w:val="000000" w:themeColor="text1"/>
          <w:szCs w:val="24"/>
        </w:rPr>
        <w:t xml:space="preserve">route of last resort </w:t>
      </w:r>
      <w:r w:rsidR="00DE68BC" w:rsidRPr="00B743BE">
        <w:rPr>
          <w:rFonts w:cs="Arial"/>
          <w:color w:val="000000" w:themeColor="text1"/>
          <w:szCs w:val="24"/>
        </w:rPr>
        <w:t xml:space="preserve">by which the Fund </w:t>
      </w:r>
      <w:r w:rsidR="00AA0678">
        <w:rPr>
          <w:rFonts w:cs="Arial"/>
          <w:color w:val="000000" w:themeColor="text1"/>
          <w:szCs w:val="24"/>
        </w:rPr>
        <w:t xml:space="preserve">can </w:t>
      </w:r>
      <w:r w:rsidR="005353E9">
        <w:rPr>
          <w:rFonts w:cs="Arial"/>
          <w:color w:val="000000" w:themeColor="text1"/>
          <w:szCs w:val="24"/>
        </w:rPr>
        <w:t xml:space="preserve">continue to </w:t>
      </w:r>
      <w:r w:rsidR="005F3B49" w:rsidRPr="00B743BE">
        <w:rPr>
          <w:rFonts w:cs="Arial"/>
          <w:color w:val="000000" w:themeColor="text1"/>
          <w:szCs w:val="24"/>
        </w:rPr>
        <w:t>active</w:t>
      </w:r>
      <w:r w:rsidR="00502A79">
        <w:rPr>
          <w:rFonts w:cs="Arial"/>
          <w:color w:val="000000" w:themeColor="text1"/>
          <w:szCs w:val="24"/>
        </w:rPr>
        <w:t>ly</w:t>
      </w:r>
      <w:r w:rsidR="005F3B49" w:rsidRPr="00B743BE">
        <w:rPr>
          <w:rFonts w:cs="Arial"/>
          <w:color w:val="000000" w:themeColor="text1"/>
          <w:szCs w:val="24"/>
        </w:rPr>
        <w:t xml:space="preserve"> </w:t>
      </w:r>
      <w:r w:rsidR="00DE68BC" w:rsidRPr="00B743BE">
        <w:rPr>
          <w:rFonts w:cs="Arial"/>
          <w:color w:val="000000" w:themeColor="text1"/>
          <w:szCs w:val="24"/>
        </w:rPr>
        <w:t>engage</w:t>
      </w:r>
      <w:r w:rsidR="00AA0678">
        <w:rPr>
          <w:rFonts w:cs="Arial"/>
          <w:color w:val="000000" w:themeColor="text1"/>
          <w:szCs w:val="24"/>
        </w:rPr>
        <w:t xml:space="preserve"> with investee companies</w:t>
      </w:r>
      <w:r w:rsidRPr="00B743BE">
        <w:rPr>
          <w:rFonts w:cs="Arial"/>
          <w:color w:val="000000" w:themeColor="text1"/>
          <w:szCs w:val="24"/>
        </w:rPr>
        <w:t xml:space="preserve">. </w:t>
      </w:r>
      <w:r w:rsidR="00DE68BC" w:rsidRPr="00B743BE">
        <w:rPr>
          <w:rFonts w:cs="Arial"/>
          <w:color w:val="000000" w:themeColor="text1"/>
          <w:szCs w:val="24"/>
        </w:rPr>
        <w:t xml:space="preserve"> </w:t>
      </w:r>
    </w:p>
    <w:p w:rsidR="00C550C9" w:rsidRPr="00110760" w:rsidRDefault="00C550C9" w:rsidP="0016562E">
      <w:pPr>
        <w:autoSpaceDE w:val="0"/>
        <w:autoSpaceDN w:val="0"/>
        <w:adjustRightInd w:val="0"/>
        <w:rPr>
          <w:rFonts w:cs="Arial"/>
          <w:color w:val="000000" w:themeColor="text1"/>
          <w:szCs w:val="24"/>
        </w:rPr>
      </w:pPr>
    </w:p>
    <w:p w:rsidR="00AA0678" w:rsidRDefault="00E45591" w:rsidP="00AA0678">
      <w:pPr>
        <w:autoSpaceDE w:val="0"/>
        <w:autoSpaceDN w:val="0"/>
        <w:adjustRightInd w:val="0"/>
        <w:rPr>
          <w:bCs/>
          <w:color w:val="000000" w:themeColor="text1"/>
        </w:rPr>
      </w:pPr>
      <w:r w:rsidRPr="00110760">
        <w:rPr>
          <w:rFonts w:cs="Arial"/>
          <w:color w:val="000000" w:themeColor="text1"/>
          <w:szCs w:val="24"/>
        </w:rPr>
        <w:t xml:space="preserve">The Fund </w:t>
      </w:r>
      <w:r w:rsidR="00B743BE">
        <w:rPr>
          <w:rFonts w:cs="Arial"/>
          <w:color w:val="000000" w:themeColor="text1"/>
          <w:szCs w:val="24"/>
        </w:rPr>
        <w:t>retains</w:t>
      </w:r>
      <w:r w:rsidRPr="00110760">
        <w:rPr>
          <w:rFonts w:cs="Arial"/>
          <w:color w:val="000000" w:themeColor="text1"/>
          <w:szCs w:val="24"/>
        </w:rPr>
        <w:t xml:space="preserve"> </w:t>
      </w:r>
      <w:r w:rsidR="0016562E" w:rsidRPr="00110760">
        <w:rPr>
          <w:rFonts w:cs="Arial"/>
          <w:color w:val="000000" w:themeColor="text1"/>
          <w:szCs w:val="24"/>
        </w:rPr>
        <w:t xml:space="preserve">two US law firms </w:t>
      </w:r>
      <w:r w:rsidRPr="00110760">
        <w:rPr>
          <w:rFonts w:cs="Arial"/>
          <w:color w:val="000000" w:themeColor="text1"/>
          <w:szCs w:val="24"/>
        </w:rPr>
        <w:t xml:space="preserve">- </w:t>
      </w:r>
      <w:r w:rsidRPr="00110760">
        <w:rPr>
          <w:bCs/>
          <w:color w:val="000000" w:themeColor="text1"/>
        </w:rPr>
        <w:t>Barrack, Rodos and Bacine (BR&amp;B) and Robbins Geller Rudman and Dowd (RGRD)</w:t>
      </w:r>
      <w:r w:rsidR="00AA0678">
        <w:rPr>
          <w:bCs/>
          <w:color w:val="000000" w:themeColor="text1"/>
        </w:rPr>
        <w:t xml:space="preserve">. Both firms </w:t>
      </w:r>
      <w:r w:rsidRPr="00110760">
        <w:rPr>
          <w:bCs/>
          <w:color w:val="000000" w:themeColor="text1"/>
        </w:rPr>
        <w:t xml:space="preserve">provide </w:t>
      </w:r>
      <w:r w:rsidR="004751FA">
        <w:rPr>
          <w:bCs/>
          <w:color w:val="000000" w:themeColor="text1"/>
        </w:rPr>
        <w:t xml:space="preserve">a </w:t>
      </w:r>
      <w:r w:rsidRPr="00110760">
        <w:rPr>
          <w:bCs/>
          <w:color w:val="000000" w:themeColor="text1"/>
        </w:rPr>
        <w:t>secur</w:t>
      </w:r>
      <w:r w:rsidR="00AA0678">
        <w:rPr>
          <w:bCs/>
          <w:color w:val="000000" w:themeColor="text1"/>
        </w:rPr>
        <w:t>ities litigation monitoring service</w:t>
      </w:r>
      <w:r w:rsidRPr="00110760">
        <w:rPr>
          <w:bCs/>
          <w:color w:val="000000" w:themeColor="text1"/>
        </w:rPr>
        <w:t xml:space="preserve"> </w:t>
      </w:r>
      <w:r w:rsidR="00711F11">
        <w:rPr>
          <w:bCs/>
          <w:color w:val="000000" w:themeColor="text1"/>
        </w:rPr>
        <w:t>which ensure</w:t>
      </w:r>
      <w:r w:rsidR="004751FA">
        <w:rPr>
          <w:bCs/>
          <w:color w:val="000000" w:themeColor="text1"/>
        </w:rPr>
        <w:t>s</w:t>
      </w:r>
      <w:r w:rsidR="007F3D46">
        <w:rPr>
          <w:bCs/>
          <w:color w:val="000000" w:themeColor="text1"/>
        </w:rPr>
        <w:t xml:space="preserve"> </w:t>
      </w:r>
      <w:r w:rsidR="00AA0678">
        <w:rPr>
          <w:bCs/>
          <w:color w:val="000000" w:themeColor="text1"/>
        </w:rPr>
        <w:t>prospective actions are known about</w:t>
      </w:r>
      <w:r w:rsidR="004751FA">
        <w:rPr>
          <w:bCs/>
          <w:color w:val="000000" w:themeColor="text1"/>
        </w:rPr>
        <w:t xml:space="preserve"> and </w:t>
      </w:r>
      <w:r w:rsidR="00502A79">
        <w:rPr>
          <w:bCs/>
          <w:color w:val="000000" w:themeColor="text1"/>
        </w:rPr>
        <w:t xml:space="preserve">the </w:t>
      </w:r>
      <w:r w:rsidR="004751FA">
        <w:rPr>
          <w:bCs/>
          <w:color w:val="000000" w:themeColor="text1"/>
        </w:rPr>
        <w:t xml:space="preserve">Fund's </w:t>
      </w:r>
      <w:r w:rsidR="00502A79">
        <w:rPr>
          <w:bCs/>
          <w:color w:val="000000" w:themeColor="text1"/>
        </w:rPr>
        <w:t>interest (</w:t>
      </w:r>
      <w:r w:rsidR="006255A6">
        <w:rPr>
          <w:bCs/>
          <w:color w:val="000000" w:themeColor="text1"/>
        </w:rPr>
        <w:t xml:space="preserve">level </w:t>
      </w:r>
      <w:r w:rsidR="005353E9">
        <w:rPr>
          <w:bCs/>
          <w:color w:val="000000" w:themeColor="text1"/>
        </w:rPr>
        <w:t xml:space="preserve">of </w:t>
      </w:r>
      <w:r w:rsidR="00502A79">
        <w:rPr>
          <w:bCs/>
          <w:color w:val="000000" w:themeColor="text1"/>
        </w:rPr>
        <w:t xml:space="preserve">loss) </w:t>
      </w:r>
      <w:r w:rsidR="005353E9">
        <w:rPr>
          <w:bCs/>
          <w:color w:val="000000" w:themeColor="text1"/>
        </w:rPr>
        <w:t xml:space="preserve">can be </w:t>
      </w:r>
      <w:r w:rsidR="004751FA">
        <w:rPr>
          <w:bCs/>
          <w:color w:val="000000" w:themeColor="text1"/>
        </w:rPr>
        <w:t xml:space="preserve">estimated in order to inform a </w:t>
      </w:r>
      <w:r w:rsidR="00711F11">
        <w:rPr>
          <w:bCs/>
          <w:color w:val="000000" w:themeColor="text1"/>
        </w:rPr>
        <w:t>decision</w:t>
      </w:r>
      <w:r w:rsidR="00502A79">
        <w:rPr>
          <w:bCs/>
          <w:color w:val="000000" w:themeColor="text1"/>
        </w:rPr>
        <w:t xml:space="preserve"> </w:t>
      </w:r>
      <w:r w:rsidR="004751FA">
        <w:rPr>
          <w:bCs/>
          <w:color w:val="000000" w:themeColor="text1"/>
        </w:rPr>
        <w:t xml:space="preserve">on </w:t>
      </w:r>
      <w:r w:rsidR="005353E9">
        <w:rPr>
          <w:bCs/>
          <w:color w:val="000000" w:themeColor="text1"/>
        </w:rPr>
        <w:t xml:space="preserve">the </w:t>
      </w:r>
      <w:r w:rsidR="00767C8E">
        <w:rPr>
          <w:bCs/>
          <w:color w:val="000000" w:themeColor="text1"/>
        </w:rPr>
        <w:t xml:space="preserve">most </w:t>
      </w:r>
      <w:r w:rsidR="005353E9">
        <w:rPr>
          <w:bCs/>
          <w:color w:val="000000" w:themeColor="text1"/>
        </w:rPr>
        <w:t>appropriate</w:t>
      </w:r>
      <w:r w:rsidR="00767C8E">
        <w:rPr>
          <w:bCs/>
          <w:color w:val="000000" w:themeColor="text1"/>
        </w:rPr>
        <w:t xml:space="preserve"> form of</w:t>
      </w:r>
      <w:r w:rsidR="005353E9">
        <w:rPr>
          <w:bCs/>
          <w:color w:val="000000" w:themeColor="text1"/>
        </w:rPr>
        <w:t xml:space="preserve"> action </w:t>
      </w:r>
      <w:r w:rsidR="00AA0678">
        <w:rPr>
          <w:bCs/>
          <w:color w:val="000000" w:themeColor="text1"/>
        </w:rPr>
        <w:t xml:space="preserve">before </w:t>
      </w:r>
      <w:r w:rsidR="00711F11">
        <w:rPr>
          <w:bCs/>
          <w:color w:val="000000" w:themeColor="text1"/>
        </w:rPr>
        <w:t>the deadline</w:t>
      </w:r>
      <w:r w:rsidR="00AA0678">
        <w:rPr>
          <w:bCs/>
          <w:color w:val="000000" w:themeColor="text1"/>
        </w:rPr>
        <w:t xml:space="preserve"> for registering an interest</w:t>
      </w:r>
      <w:r w:rsidR="00711F11" w:rsidRPr="00711F11">
        <w:rPr>
          <w:bCs/>
          <w:color w:val="000000" w:themeColor="text1"/>
        </w:rPr>
        <w:t xml:space="preserve"> </w:t>
      </w:r>
      <w:r w:rsidR="00711F11">
        <w:rPr>
          <w:bCs/>
          <w:color w:val="000000" w:themeColor="text1"/>
        </w:rPr>
        <w:t>expires</w:t>
      </w:r>
      <w:r w:rsidR="00AA0678">
        <w:rPr>
          <w:bCs/>
          <w:color w:val="000000" w:themeColor="text1"/>
        </w:rPr>
        <w:t xml:space="preserve">. </w:t>
      </w:r>
      <w:r w:rsidR="007F3D46">
        <w:rPr>
          <w:bCs/>
          <w:color w:val="000000" w:themeColor="text1"/>
        </w:rPr>
        <w:t xml:space="preserve">These services </w:t>
      </w:r>
      <w:r w:rsidR="00AA0678" w:rsidRPr="00110760">
        <w:rPr>
          <w:bCs/>
          <w:color w:val="000000" w:themeColor="text1"/>
        </w:rPr>
        <w:t xml:space="preserve">are </w:t>
      </w:r>
      <w:r w:rsidR="007F3D46">
        <w:rPr>
          <w:bCs/>
          <w:color w:val="000000" w:themeColor="text1"/>
        </w:rPr>
        <w:t xml:space="preserve">provided </w:t>
      </w:r>
      <w:r w:rsidR="004751FA" w:rsidRPr="00110760">
        <w:rPr>
          <w:bCs/>
          <w:color w:val="000000" w:themeColor="text1"/>
        </w:rPr>
        <w:t xml:space="preserve">to the Fund </w:t>
      </w:r>
      <w:r w:rsidR="00AA0678" w:rsidRPr="00110760">
        <w:rPr>
          <w:bCs/>
          <w:color w:val="000000" w:themeColor="text1"/>
        </w:rPr>
        <w:t>at no cost</w:t>
      </w:r>
      <w:r w:rsidR="007F3D46">
        <w:rPr>
          <w:bCs/>
          <w:color w:val="000000" w:themeColor="text1"/>
        </w:rPr>
        <w:t>.</w:t>
      </w:r>
    </w:p>
    <w:p w:rsidR="00AA0678" w:rsidRDefault="00AA0678" w:rsidP="00AA0678">
      <w:pPr>
        <w:autoSpaceDE w:val="0"/>
        <w:autoSpaceDN w:val="0"/>
        <w:adjustRightInd w:val="0"/>
        <w:rPr>
          <w:bCs/>
          <w:color w:val="000000" w:themeColor="text1"/>
        </w:rPr>
      </w:pPr>
    </w:p>
    <w:p w:rsidR="005F0B97" w:rsidRPr="000F619B" w:rsidRDefault="005F0B97" w:rsidP="009F4EC5">
      <w:pPr>
        <w:autoSpaceDE w:val="0"/>
        <w:autoSpaceDN w:val="0"/>
        <w:adjustRightInd w:val="0"/>
        <w:spacing w:after="120"/>
        <w:rPr>
          <w:b/>
          <w:color w:val="000000" w:themeColor="text1"/>
        </w:rPr>
      </w:pPr>
      <w:r w:rsidRPr="000F619B">
        <w:rPr>
          <w:b/>
          <w:color w:val="000000" w:themeColor="text1"/>
        </w:rPr>
        <w:t xml:space="preserve">United </w:t>
      </w:r>
      <w:r w:rsidRPr="004751FA">
        <w:rPr>
          <w:b/>
          <w:color w:val="000000" w:themeColor="text1"/>
        </w:rPr>
        <w:t>States</w:t>
      </w:r>
      <w:r w:rsidR="000F619B" w:rsidRPr="004751FA">
        <w:rPr>
          <w:b/>
          <w:bCs/>
          <w:color w:val="000000" w:themeColor="text1"/>
        </w:rPr>
        <w:t xml:space="preserve"> </w:t>
      </w:r>
    </w:p>
    <w:p w:rsidR="005F0B97" w:rsidRPr="000F619B" w:rsidRDefault="000F619B" w:rsidP="005F0B97">
      <w:pPr>
        <w:keepNext/>
        <w:spacing w:after="240"/>
        <w:outlineLvl w:val="0"/>
        <w:rPr>
          <w:bCs/>
          <w:color w:val="000000" w:themeColor="text1"/>
        </w:rPr>
      </w:pPr>
      <w:r>
        <w:rPr>
          <w:bCs/>
          <w:color w:val="000000" w:themeColor="text1"/>
        </w:rPr>
        <w:t>U</w:t>
      </w:r>
      <w:r w:rsidRPr="000F619B">
        <w:rPr>
          <w:bCs/>
          <w:color w:val="000000" w:themeColor="text1"/>
        </w:rPr>
        <w:t>nder US law</w:t>
      </w:r>
      <w:r>
        <w:rPr>
          <w:bCs/>
          <w:color w:val="000000" w:themeColor="text1"/>
        </w:rPr>
        <w:t>,</w:t>
      </w:r>
      <w:r w:rsidRPr="000F619B">
        <w:rPr>
          <w:bCs/>
          <w:color w:val="000000" w:themeColor="text1"/>
        </w:rPr>
        <w:t xml:space="preserve"> any shareholder subject to loss </w:t>
      </w:r>
      <w:r>
        <w:rPr>
          <w:bCs/>
          <w:color w:val="000000" w:themeColor="text1"/>
        </w:rPr>
        <w:t>is</w:t>
      </w:r>
      <w:r w:rsidRPr="000F619B">
        <w:rPr>
          <w:bCs/>
          <w:color w:val="000000" w:themeColor="text1"/>
        </w:rPr>
        <w:t xml:space="preserve"> automatically entered into and </w:t>
      </w:r>
      <w:r>
        <w:rPr>
          <w:bCs/>
          <w:color w:val="000000" w:themeColor="text1"/>
        </w:rPr>
        <w:t xml:space="preserve">will </w:t>
      </w:r>
      <w:r w:rsidRPr="000F619B">
        <w:rPr>
          <w:bCs/>
          <w:color w:val="000000" w:themeColor="text1"/>
        </w:rPr>
        <w:t>benefit from a class action without having to file an individual claim.</w:t>
      </w:r>
      <w:r>
        <w:rPr>
          <w:bCs/>
          <w:color w:val="000000" w:themeColor="text1"/>
        </w:rPr>
        <w:t xml:space="preserve"> </w:t>
      </w:r>
      <w:r w:rsidR="007F3D46">
        <w:rPr>
          <w:bCs/>
          <w:color w:val="000000" w:themeColor="text1"/>
        </w:rPr>
        <w:t xml:space="preserve">BR&amp; B </w:t>
      </w:r>
      <w:r w:rsidR="00BC2117">
        <w:rPr>
          <w:bCs/>
          <w:color w:val="000000" w:themeColor="text1"/>
        </w:rPr>
        <w:t xml:space="preserve">and RGRD </w:t>
      </w:r>
      <w:r>
        <w:rPr>
          <w:bCs/>
          <w:color w:val="000000" w:themeColor="text1"/>
        </w:rPr>
        <w:t xml:space="preserve">monitor and </w:t>
      </w:r>
      <w:r w:rsidR="005F0B97" w:rsidRPr="000F619B">
        <w:rPr>
          <w:bCs/>
          <w:color w:val="000000" w:themeColor="text1"/>
        </w:rPr>
        <w:t>identif</w:t>
      </w:r>
      <w:r w:rsidR="00F64E0F">
        <w:rPr>
          <w:bCs/>
          <w:color w:val="000000" w:themeColor="text1"/>
        </w:rPr>
        <w:t>y class actions where the Fund w</w:t>
      </w:r>
      <w:r w:rsidR="005F0B97" w:rsidRPr="000F619B">
        <w:rPr>
          <w:bCs/>
          <w:color w:val="000000" w:themeColor="text1"/>
        </w:rPr>
        <w:t>as potentia</w:t>
      </w:r>
      <w:r w:rsidR="00F64E0F">
        <w:rPr>
          <w:bCs/>
          <w:color w:val="000000" w:themeColor="text1"/>
        </w:rPr>
        <w:t>l</w:t>
      </w:r>
      <w:r w:rsidR="005F0B97" w:rsidRPr="000F619B">
        <w:rPr>
          <w:bCs/>
          <w:color w:val="000000" w:themeColor="text1"/>
        </w:rPr>
        <w:t>l</w:t>
      </w:r>
      <w:r w:rsidR="00F64E0F">
        <w:rPr>
          <w:bCs/>
          <w:color w:val="000000" w:themeColor="text1"/>
        </w:rPr>
        <w:t>y subject to</w:t>
      </w:r>
      <w:r w:rsidR="005F0B97" w:rsidRPr="000F619B">
        <w:rPr>
          <w:bCs/>
          <w:color w:val="000000" w:themeColor="text1"/>
        </w:rPr>
        <w:t xml:space="preserve"> loss </w:t>
      </w:r>
      <w:r>
        <w:rPr>
          <w:bCs/>
          <w:color w:val="000000" w:themeColor="text1"/>
        </w:rPr>
        <w:t>and ensure</w:t>
      </w:r>
      <w:r w:rsidRPr="00110760">
        <w:rPr>
          <w:bCs/>
          <w:color w:val="000000" w:themeColor="text1"/>
        </w:rPr>
        <w:t xml:space="preserve"> a proof of claim is filed for </w:t>
      </w:r>
      <w:r w:rsidR="00F64E0F">
        <w:rPr>
          <w:bCs/>
          <w:color w:val="000000" w:themeColor="text1"/>
        </w:rPr>
        <w:t>each</w:t>
      </w:r>
      <w:r w:rsidRPr="00110760">
        <w:rPr>
          <w:bCs/>
          <w:color w:val="000000" w:themeColor="text1"/>
        </w:rPr>
        <w:t xml:space="preserve"> </w:t>
      </w:r>
      <w:r w:rsidR="00F64E0F">
        <w:rPr>
          <w:bCs/>
          <w:color w:val="000000" w:themeColor="text1"/>
        </w:rPr>
        <w:t>case</w:t>
      </w:r>
      <w:r>
        <w:rPr>
          <w:bCs/>
          <w:color w:val="000000" w:themeColor="text1"/>
        </w:rPr>
        <w:t xml:space="preserve">. </w:t>
      </w:r>
      <w:r w:rsidR="005F0B97" w:rsidRPr="000F619B">
        <w:rPr>
          <w:bCs/>
          <w:color w:val="000000" w:themeColor="text1"/>
        </w:rPr>
        <w:t>Occasionally the Fund may be asked to part</w:t>
      </w:r>
      <w:r w:rsidR="00767C8E">
        <w:rPr>
          <w:bCs/>
          <w:color w:val="000000" w:themeColor="text1"/>
        </w:rPr>
        <w:t>icipate in a class action, and/</w:t>
      </w:r>
      <w:r w:rsidR="005F0B97" w:rsidRPr="000F619B">
        <w:rPr>
          <w:bCs/>
          <w:color w:val="000000" w:themeColor="text1"/>
        </w:rPr>
        <w:t>or to apply to become the lead or co-lead plaintiff</w:t>
      </w:r>
      <w:r w:rsidR="00AA657C">
        <w:rPr>
          <w:bCs/>
          <w:color w:val="000000" w:themeColor="text1"/>
        </w:rPr>
        <w:t>, something</w:t>
      </w:r>
      <w:r w:rsidR="00711F11">
        <w:rPr>
          <w:bCs/>
          <w:color w:val="000000" w:themeColor="text1"/>
        </w:rPr>
        <w:t xml:space="preserve"> which </w:t>
      </w:r>
      <w:r>
        <w:rPr>
          <w:bCs/>
          <w:color w:val="000000" w:themeColor="text1"/>
        </w:rPr>
        <w:t xml:space="preserve">attaches greater </w:t>
      </w:r>
      <w:r w:rsidR="007F3D46">
        <w:rPr>
          <w:bCs/>
          <w:color w:val="000000" w:themeColor="text1"/>
        </w:rPr>
        <w:t xml:space="preserve">and more onerous </w:t>
      </w:r>
      <w:r>
        <w:rPr>
          <w:bCs/>
          <w:color w:val="000000" w:themeColor="text1"/>
        </w:rPr>
        <w:t>responsibilit</w:t>
      </w:r>
      <w:r w:rsidR="00F64E0F">
        <w:rPr>
          <w:bCs/>
          <w:color w:val="000000" w:themeColor="text1"/>
        </w:rPr>
        <w:t>ies</w:t>
      </w:r>
      <w:r w:rsidR="00711F11">
        <w:rPr>
          <w:bCs/>
          <w:color w:val="000000" w:themeColor="text1"/>
        </w:rPr>
        <w:t>. A</w:t>
      </w:r>
      <w:r w:rsidR="007F3D46">
        <w:rPr>
          <w:bCs/>
          <w:color w:val="000000" w:themeColor="text1"/>
        </w:rPr>
        <w:t xml:space="preserve"> decision on </w:t>
      </w:r>
      <w:r w:rsidR="006255A6">
        <w:rPr>
          <w:bCs/>
          <w:color w:val="000000" w:themeColor="text1"/>
        </w:rPr>
        <w:t>the</w:t>
      </w:r>
      <w:r w:rsidR="007F3D46">
        <w:rPr>
          <w:bCs/>
          <w:color w:val="000000" w:themeColor="text1"/>
        </w:rPr>
        <w:t xml:space="preserve"> appropriate</w:t>
      </w:r>
      <w:r w:rsidR="006255A6">
        <w:rPr>
          <w:bCs/>
          <w:color w:val="000000" w:themeColor="text1"/>
        </w:rPr>
        <w:t>ness of agreeing to do so</w:t>
      </w:r>
      <w:r w:rsidR="007F3D46">
        <w:rPr>
          <w:bCs/>
          <w:color w:val="000000" w:themeColor="text1"/>
        </w:rPr>
        <w:t xml:space="preserve"> </w:t>
      </w:r>
      <w:r w:rsidR="006255A6">
        <w:rPr>
          <w:bCs/>
          <w:color w:val="000000" w:themeColor="text1"/>
        </w:rPr>
        <w:t>would</w:t>
      </w:r>
      <w:r w:rsidR="007F3D46">
        <w:rPr>
          <w:bCs/>
          <w:color w:val="000000" w:themeColor="text1"/>
        </w:rPr>
        <w:t xml:space="preserve"> be considered </w:t>
      </w:r>
      <w:r w:rsidR="006255A6">
        <w:rPr>
          <w:bCs/>
          <w:color w:val="000000" w:themeColor="text1"/>
        </w:rPr>
        <w:t xml:space="preserve">carefully </w:t>
      </w:r>
      <w:r w:rsidR="007F3D46">
        <w:rPr>
          <w:bCs/>
          <w:color w:val="000000" w:themeColor="text1"/>
        </w:rPr>
        <w:t xml:space="preserve">on </w:t>
      </w:r>
      <w:r w:rsidR="00767C8E">
        <w:rPr>
          <w:bCs/>
          <w:color w:val="000000" w:themeColor="text1"/>
        </w:rPr>
        <w:t xml:space="preserve">a </w:t>
      </w:r>
      <w:r>
        <w:rPr>
          <w:bCs/>
          <w:color w:val="000000" w:themeColor="text1"/>
        </w:rPr>
        <w:t xml:space="preserve">case </w:t>
      </w:r>
      <w:r w:rsidR="00767C8E">
        <w:rPr>
          <w:bCs/>
          <w:color w:val="000000" w:themeColor="text1"/>
        </w:rPr>
        <w:t>by case basis</w:t>
      </w:r>
      <w:r>
        <w:rPr>
          <w:bCs/>
          <w:color w:val="000000" w:themeColor="text1"/>
        </w:rPr>
        <w:t>.</w:t>
      </w:r>
      <w:r w:rsidR="005F0B97" w:rsidRPr="000F619B">
        <w:rPr>
          <w:bCs/>
          <w:color w:val="000000" w:themeColor="text1"/>
        </w:rPr>
        <w:t xml:space="preserve"> </w:t>
      </w: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DB1028" w:rsidRDefault="00DB1028" w:rsidP="007A2F86">
      <w:pPr>
        <w:rPr>
          <w:bCs/>
          <w:color w:val="000000" w:themeColor="text1"/>
        </w:rPr>
      </w:pPr>
    </w:p>
    <w:p w:rsidR="00812BE1" w:rsidRDefault="005F0B97" w:rsidP="007A2F86">
      <w:pPr>
        <w:rPr>
          <w:bCs/>
          <w:color w:val="000000" w:themeColor="text1"/>
        </w:rPr>
      </w:pPr>
      <w:r w:rsidRPr="003F4B76">
        <w:rPr>
          <w:bCs/>
          <w:color w:val="000000" w:themeColor="text1"/>
        </w:rPr>
        <w:lastRenderedPageBreak/>
        <w:t>Details of current potential cases are set out below.</w:t>
      </w:r>
      <w:r w:rsidR="007F3D46" w:rsidRPr="003F4B76">
        <w:rPr>
          <w:bCs/>
          <w:color w:val="000000" w:themeColor="text1"/>
        </w:rPr>
        <w:t xml:space="preserve"> </w:t>
      </w:r>
    </w:p>
    <w:p w:rsidR="007A2F86" w:rsidRPr="003F4B76" w:rsidRDefault="007A2F86" w:rsidP="007A2F86">
      <w:pPr>
        <w:rPr>
          <w:bCs/>
          <w:color w:val="FF0000"/>
        </w:rPr>
      </w:pPr>
    </w:p>
    <w:tbl>
      <w:tblPr>
        <w:tblW w:w="8930" w:type="dxa"/>
        <w:tblInd w:w="137" w:type="dxa"/>
        <w:tblLook w:val="04A0" w:firstRow="1" w:lastRow="0" w:firstColumn="1" w:lastColumn="0" w:noHBand="0" w:noVBand="1"/>
      </w:tblPr>
      <w:tblGrid>
        <w:gridCol w:w="4253"/>
        <w:gridCol w:w="1559"/>
        <w:gridCol w:w="1559"/>
        <w:gridCol w:w="1559"/>
      </w:tblGrid>
      <w:tr w:rsidR="003F7245" w:rsidRPr="003F7245" w:rsidTr="003F7245">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Company Name</w:t>
            </w:r>
          </w:p>
        </w:tc>
        <w:tc>
          <w:tcPr>
            <w:tcW w:w="1559" w:type="dxa"/>
            <w:tcBorders>
              <w:top w:val="single" w:sz="4" w:space="0" w:color="auto"/>
              <w:bottom w:val="single" w:sz="4" w:space="0" w:color="auto"/>
              <w:right w:val="single" w:sz="4" w:space="0" w:color="auto"/>
            </w:tcBorders>
          </w:tcPr>
          <w:p w:rsidR="003F7245" w:rsidRPr="003F7245" w:rsidRDefault="003F7245" w:rsidP="003F7245">
            <w:pPr>
              <w:jc w:val="center"/>
              <w:rPr>
                <w:color w:val="000000" w:themeColor="text1"/>
              </w:rPr>
            </w:pPr>
            <w:r w:rsidRPr="003F7245">
              <w:rPr>
                <w:color w:val="000000" w:themeColor="text1"/>
              </w:rPr>
              <w:t>Effective class period begin</w:t>
            </w:r>
          </w:p>
        </w:tc>
        <w:tc>
          <w:tcPr>
            <w:tcW w:w="1559" w:type="dxa"/>
            <w:tcBorders>
              <w:top w:val="single" w:sz="4" w:space="0" w:color="auto"/>
              <w:left w:val="single" w:sz="4" w:space="0" w:color="auto"/>
              <w:bottom w:val="single" w:sz="4" w:space="0" w:color="auto"/>
              <w:right w:val="single" w:sz="4" w:space="0" w:color="auto"/>
            </w:tcBorders>
          </w:tcPr>
          <w:p w:rsidR="003F7245" w:rsidRPr="003F7245" w:rsidRDefault="003F7245" w:rsidP="003F7245">
            <w:pPr>
              <w:jc w:val="center"/>
              <w:rPr>
                <w:color w:val="000000" w:themeColor="text1"/>
              </w:rPr>
            </w:pPr>
            <w:r w:rsidRPr="003F7245">
              <w:rPr>
                <w:color w:val="000000" w:themeColor="text1"/>
              </w:rPr>
              <w:t>Effective class period end</w:t>
            </w:r>
          </w:p>
        </w:tc>
        <w:tc>
          <w:tcPr>
            <w:tcW w:w="1559" w:type="dxa"/>
            <w:tcBorders>
              <w:top w:val="single" w:sz="4" w:space="0" w:color="auto"/>
              <w:left w:val="single" w:sz="4" w:space="0" w:color="auto"/>
              <w:bottom w:val="single" w:sz="4" w:space="0" w:color="auto"/>
              <w:right w:val="single" w:sz="4" w:space="0" w:color="auto"/>
            </w:tcBorders>
          </w:tcPr>
          <w:p w:rsidR="003F7245" w:rsidRPr="003F7245" w:rsidRDefault="003F7245" w:rsidP="003F7245">
            <w:pPr>
              <w:jc w:val="center"/>
              <w:rPr>
                <w:color w:val="000000" w:themeColor="text1"/>
              </w:rPr>
            </w:pPr>
            <w:r w:rsidRPr="003F7245">
              <w:rPr>
                <w:color w:val="000000" w:themeColor="text1"/>
              </w:rPr>
              <w:t>Potential loss incurred ($'000)</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Medtronic, Inc.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08/12/2010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03/08/2011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27.71</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Verisign, Inc.</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25/06/2012</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25/10/2012</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246.21</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Intuitive Surgical, Inc.</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19/10/2011</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18/04/2013</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251.54</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Barrick Gold Corp.</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07/05/2009</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23/05/2013</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364.67</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Prospect Capital Corporation</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14/09/2009</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06/05/2014</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450.97</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CenturyLink, Inc.</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08/08/2012</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14/02/2013</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521.63</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ITT Educational Services, Inc.</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24/04/2008</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25/02/2013</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760.06</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Weight Watchers International, Inc.</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14/02/2012</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30/10/2013</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2,265.97</w:t>
            </w:r>
          </w:p>
        </w:tc>
      </w:tr>
      <w:tr w:rsidR="003F7245" w:rsidRPr="003F7245" w:rsidTr="003F7245">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F7245" w:rsidRPr="003F7245" w:rsidRDefault="003F7245" w:rsidP="003F7245">
            <w:pPr>
              <w:rPr>
                <w:rFonts w:cs="Arial"/>
                <w:color w:val="000000"/>
                <w:sz w:val="22"/>
                <w:szCs w:val="22"/>
              </w:rPr>
            </w:pPr>
            <w:r w:rsidRPr="003F7245">
              <w:rPr>
                <w:rFonts w:cs="Arial"/>
                <w:color w:val="000000"/>
                <w:sz w:val="22"/>
                <w:szCs w:val="22"/>
              </w:rPr>
              <w:t>Petroleo Brasileiro S.A. Petrobras</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07/01/2010</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center"/>
              <w:rPr>
                <w:rFonts w:cs="Arial"/>
                <w:color w:val="000000"/>
                <w:sz w:val="22"/>
                <w:szCs w:val="22"/>
              </w:rPr>
            </w:pPr>
            <w:r w:rsidRPr="003F7245">
              <w:rPr>
                <w:rFonts w:cs="Arial"/>
                <w:color w:val="000000"/>
                <w:sz w:val="22"/>
                <w:szCs w:val="22"/>
              </w:rPr>
              <w:t>26/11/2014</w:t>
            </w:r>
          </w:p>
        </w:tc>
        <w:tc>
          <w:tcPr>
            <w:tcW w:w="1559" w:type="dxa"/>
            <w:tcBorders>
              <w:top w:val="nil"/>
              <w:left w:val="nil"/>
              <w:bottom w:val="single" w:sz="4" w:space="0" w:color="auto"/>
              <w:right w:val="single" w:sz="4" w:space="0" w:color="auto"/>
            </w:tcBorders>
            <w:shd w:val="clear" w:color="auto" w:fill="auto"/>
            <w:noWrap/>
            <w:vAlign w:val="bottom"/>
            <w:hideMark/>
          </w:tcPr>
          <w:p w:rsidR="003F7245" w:rsidRPr="003F7245" w:rsidRDefault="003F7245" w:rsidP="003F7245">
            <w:pPr>
              <w:jc w:val="right"/>
              <w:rPr>
                <w:rFonts w:cs="Arial"/>
                <w:color w:val="000000"/>
                <w:sz w:val="22"/>
                <w:szCs w:val="22"/>
              </w:rPr>
            </w:pPr>
            <w:r w:rsidRPr="003F7245">
              <w:rPr>
                <w:rFonts w:cs="Arial"/>
                <w:color w:val="000000"/>
                <w:sz w:val="22"/>
                <w:szCs w:val="22"/>
              </w:rPr>
              <w:t>6,158.91</w:t>
            </w:r>
          </w:p>
        </w:tc>
      </w:tr>
    </w:tbl>
    <w:p w:rsidR="000E4240" w:rsidRPr="004751FA" w:rsidRDefault="000E4240" w:rsidP="00655108">
      <w:pPr>
        <w:spacing w:before="100" w:beforeAutospacing="1" w:after="120"/>
        <w:rPr>
          <w:b/>
        </w:rPr>
      </w:pPr>
      <w:r w:rsidRPr="004751FA">
        <w:rPr>
          <w:b/>
        </w:rPr>
        <w:t>United Kingdom</w:t>
      </w:r>
    </w:p>
    <w:p w:rsidR="007357EE" w:rsidRPr="003A105E" w:rsidRDefault="00711F11" w:rsidP="00192A12">
      <w:pPr>
        <w:widowControl w:val="0"/>
        <w:spacing w:after="240"/>
        <w:outlineLvl w:val="0"/>
        <w:rPr>
          <w:bCs/>
          <w:color w:val="000000" w:themeColor="text1"/>
        </w:rPr>
      </w:pPr>
      <w:r>
        <w:rPr>
          <w:bCs/>
          <w:color w:val="000000" w:themeColor="text1"/>
        </w:rPr>
        <w:t>Unlike class actions in the US, s</w:t>
      </w:r>
      <w:r w:rsidR="000E4240" w:rsidRPr="003A105E">
        <w:rPr>
          <w:bCs/>
          <w:color w:val="000000" w:themeColor="text1"/>
        </w:rPr>
        <w:t>ecurities claims in the UK require investors to file actions indi</w:t>
      </w:r>
      <w:r w:rsidR="007F3D46" w:rsidRPr="003A105E">
        <w:rPr>
          <w:bCs/>
          <w:color w:val="000000" w:themeColor="text1"/>
        </w:rPr>
        <w:t xml:space="preserve">vidually </w:t>
      </w:r>
      <w:r w:rsidR="000E4240" w:rsidRPr="003A105E">
        <w:rPr>
          <w:bCs/>
          <w:color w:val="000000" w:themeColor="text1"/>
        </w:rPr>
        <w:t>in order to b</w:t>
      </w:r>
      <w:r w:rsidR="003A105E" w:rsidRPr="003A105E">
        <w:rPr>
          <w:bCs/>
          <w:color w:val="000000" w:themeColor="text1"/>
        </w:rPr>
        <w:t xml:space="preserve">enefit from a successful </w:t>
      </w:r>
      <w:r>
        <w:rPr>
          <w:bCs/>
          <w:color w:val="000000" w:themeColor="text1"/>
        </w:rPr>
        <w:t xml:space="preserve">group </w:t>
      </w:r>
      <w:r w:rsidR="003A105E" w:rsidRPr="003A105E">
        <w:rPr>
          <w:bCs/>
          <w:color w:val="000000" w:themeColor="text1"/>
        </w:rPr>
        <w:t>action</w:t>
      </w:r>
      <w:r w:rsidR="000E4240" w:rsidRPr="003A105E">
        <w:rPr>
          <w:bCs/>
          <w:color w:val="000000" w:themeColor="text1"/>
        </w:rPr>
        <w:t xml:space="preserve"> </w:t>
      </w:r>
      <w:r w:rsidR="003A105E" w:rsidRPr="003A105E">
        <w:rPr>
          <w:bCs/>
          <w:color w:val="000000" w:themeColor="text1"/>
        </w:rPr>
        <w:t xml:space="preserve">(they must be named as a claimant on an issued Claim Form). </w:t>
      </w:r>
      <w:r w:rsidR="006256C5" w:rsidRPr="003A105E">
        <w:rPr>
          <w:bCs/>
          <w:color w:val="000000" w:themeColor="text1"/>
        </w:rPr>
        <w:t xml:space="preserve">Actions are much less prevalent </w:t>
      </w:r>
      <w:r w:rsidR="003A105E">
        <w:rPr>
          <w:bCs/>
          <w:color w:val="000000" w:themeColor="text1"/>
        </w:rPr>
        <w:t xml:space="preserve">in the UK than </w:t>
      </w:r>
      <w:r w:rsidR="004751FA">
        <w:rPr>
          <w:bCs/>
          <w:color w:val="000000" w:themeColor="text1"/>
        </w:rPr>
        <w:t>equivalent class actions in the US</w:t>
      </w:r>
      <w:r w:rsidR="007357EE" w:rsidRPr="003A105E">
        <w:rPr>
          <w:bCs/>
          <w:color w:val="000000" w:themeColor="text1"/>
        </w:rPr>
        <w:t>.</w:t>
      </w:r>
      <w:r w:rsidR="006256C5" w:rsidRPr="003A105E">
        <w:rPr>
          <w:bCs/>
          <w:color w:val="000000" w:themeColor="text1"/>
        </w:rPr>
        <w:t xml:space="preserve"> </w:t>
      </w:r>
    </w:p>
    <w:p w:rsidR="00ED2BF4" w:rsidRPr="003A105E" w:rsidRDefault="00ED2BF4" w:rsidP="00192A12">
      <w:pPr>
        <w:widowControl w:val="0"/>
        <w:spacing w:after="240"/>
        <w:outlineLvl w:val="0"/>
        <w:rPr>
          <w:bCs/>
          <w:i/>
          <w:color w:val="000000" w:themeColor="text1"/>
        </w:rPr>
      </w:pPr>
      <w:r w:rsidRPr="003A105E">
        <w:rPr>
          <w:bCs/>
          <w:i/>
          <w:color w:val="000000" w:themeColor="text1"/>
        </w:rPr>
        <w:t xml:space="preserve">Royal Bank of Scotland </w:t>
      </w:r>
    </w:p>
    <w:p w:rsidR="002259B3" w:rsidRDefault="0071110E" w:rsidP="00192A12">
      <w:pPr>
        <w:widowControl w:val="0"/>
        <w:spacing w:after="240"/>
        <w:outlineLvl w:val="0"/>
        <w:rPr>
          <w:bCs/>
          <w:color w:val="000000" w:themeColor="text1"/>
        </w:rPr>
      </w:pPr>
      <w:r>
        <w:rPr>
          <w:bCs/>
          <w:color w:val="000000" w:themeColor="text1"/>
        </w:rPr>
        <w:t>As part of a large group of institutional investors</w:t>
      </w:r>
      <w:r w:rsidR="00767C8E">
        <w:rPr>
          <w:bCs/>
          <w:color w:val="000000" w:themeColor="text1"/>
        </w:rPr>
        <w:t>,</w:t>
      </w:r>
      <w:r>
        <w:rPr>
          <w:bCs/>
          <w:color w:val="000000" w:themeColor="text1"/>
        </w:rPr>
        <w:t xml:space="preserve"> t</w:t>
      </w:r>
      <w:r w:rsidR="000E4240" w:rsidRPr="00486D4A">
        <w:rPr>
          <w:bCs/>
          <w:color w:val="000000" w:themeColor="text1"/>
        </w:rPr>
        <w:t xml:space="preserve">he </w:t>
      </w:r>
      <w:r w:rsidR="00964B93" w:rsidRPr="00486D4A">
        <w:rPr>
          <w:bCs/>
          <w:color w:val="000000" w:themeColor="text1"/>
        </w:rPr>
        <w:t xml:space="preserve">Fund </w:t>
      </w:r>
      <w:r w:rsidR="001E1715" w:rsidRPr="00486D4A">
        <w:rPr>
          <w:bCs/>
          <w:color w:val="000000" w:themeColor="text1"/>
        </w:rPr>
        <w:t xml:space="preserve">is </w:t>
      </w:r>
      <w:r>
        <w:rPr>
          <w:bCs/>
          <w:color w:val="000000" w:themeColor="text1"/>
        </w:rPr>
        <w:t xml:space="preserve">a </w:t>
      </w:r>
      <w:r w:rsidR="00B40C71">
        <w:rPr>
          <w:bCs/>
          <w:color w:val="000000" w:themeColor="text1"/>
        </w:rPr>
        <w:t xml:space="preserve">claimant in a </w:t>
      </w:r>
      <w:r>
        <w:rPr>
          <w:bCs/>
          <w:color w:val="000000" w:themeColor="text1"/>
        </w:rPr>
        <w:t xml:space="preserve">group action </w:t>
      </w:r>
      <w:r w:rsidR="003A105E">
        <w:rPr>
          <w:bCs/>
          <w:color w:val="000000" w:themeColor="text1"/>
        </w:rPr>
        <w:t>relating</w:t>
      </w:r>
      <w:r>
        <w:rPr>
          <w:bCs/>
          <w:color w:val="000000" w:themeColor="text1"/>
        </w:rPr>
        <w:t xml:space="preserve"> to </w:t>
      </w:r>
      <w:r w:rsidR="000E4240" w:rsidRPr="00486D4A">
        <w:rPr>
          <w:bCs/>
          <w:color w:val="000000" w:themeColor="text1"/>
        </w:rPr>
        <w:t xml:space="preserve">alleged </w:t>
      </w:r>
      <w:r w:rsidR="003A105E">
        <w:rPr>
          <w:bCs/>
          <w:color w:val="000000" w:themeColor="text1"/>
        </w:rPr>
        <w:t>misrepresentation</w:t>
      </w:r>
      <w:r w:rsidR="000E4240" w:rsidRPr="00486D4A">
        <w:rPr>
          <w:bCs/>
          <w:color w:val="000000" w:themeColor="text1"/>
        </w:rPr>
        <w:t xml:space="preserve"> </w:t>
      </w:r>
      <w:r>
        <w:rPr>
          <w:bCs/>
          <w:color w:val="000000" w:themeColor="text1"/>
        </w:rPr>
        <w:t>by</w:t>
      </w:r>
      <w:r w:rsidR="000E4240" w:rsidRPr="00486D4A">
        <w:rPr>
          <w:bCs/>
          <w:color w:val="000000" w:themeColor="text1"/>
        </w:rPr>
        <w:t xml:space="preserve"> Royal Bank of Scotland Group Plc (RBS)</w:t>
      </w:r>
      <w:r w:rsidR="00767C8E">
        <w:rPr>
          <w:bCs/>
          <w:color w:val="000000" w:themeColor="text1"/>
        </w:rPr>
        <w:t xml:space="preserve"> under which i</w:t>
      </w:r>
      <w:r w:rsidR="000E4240" w:rsidRPr="00486D4A">
        <w:rPr>
          <w:bCs/>
          <w:color w:val="000000" w:themeColor="text1"/>
        </w:rPr>
        <w:t>t is argued</w:t>
      </w:r>
      <w:r w:rsidR="002259B3">
        <w:rPr>
          <w:bCs/>
          <w:color w:val="000000" w:themeColor="text1"/>
        </w:rPr>
        <w:t xml:space="preserve"> that </w:t>
      </w:r>
      <w:r w:rsidR="000E4240" w:rsidRPr="00486D4A">
        <w:rPr>
          <w:bCs/>
          <w:color w:val="000000" w:themeColor="text1"/>
        </w:rPr>
        <w:t xml:space="preserve">investors suffered losses in </w:t>
      </w:r>
      <w:r w:rsidR="00B40C71">
        <w:rPr>
          <w:bCs/>
          <w:color w:val="000000" w:themeColor="text1"/>
        </w:rPr>
        <w:t xml:space="preserve">connection with </w:t>
      </w:r>
      <w:r>
        <w:rPr>
          <w:bCs/>
          <w:color w:val="000000" w:themeColor="text1"/>
        </w:rPr>
        <w:t xml:space="preserve">a </w:t>
      </w:r>
      <w:r w:rsidR="000E4240" w:rsidRPr="00486D4A">
        <w:rPr>
          <w:bCs/>
          <w:color w:val="000000" w:themeColor="text1"/>
        </w:rPr>
        <w:t>Rights Issue in 2008.</w:t>
      </w:r>
      <w:r>
        <w:rPr>
          <w:bCs/>
          <w:color w:val="000000" w:themeColor="text1"/>
        </w:rPr>
        <w:t xml:space="preserve"> </w:t>
      </w:r>
    </w:p>
    <w:p w:rsidR="00486D4A" w:rsidRPr="002259B3" w:rsidRDefault="004751FA" w:rsidP="002259B3">
      <w:pPr>
        <w:widowControl w:val="0"/>
        <w:spacing w:after="240"/>
        <w:outlineLvl w:val="0"/>
        <w:rPr>
          <w:bCs/>
          <w:color w:val="000000" w:themeColor="text1"/>
        </w:rPr>
      </w:pPr>
      <w:r>
        <w:rPr>
          <w:bCs/>
          <w:color w:val="000000" w:themeColor="text1"/>
        </w:rPr>
        <w:t>M</w:t>
      </w:r>
      <w:r w:rsidR="00B40C71">
        <w:rPr>
          <w:bCs/>
          <w:color w:val="000000" w:themeColor="text1"/>
        </w:rPr>
        <w:t xml:space="preserve">onthly </w:t>
      </w:r>
      <w:r w:rsidR="003A105E">
        <w:rPr>
          <w:bCs/>
          <w:color w:val="000000" w:themeColor="text1"/>
        </w:rPr>
        <w:t>updates on the</w:t>
      </w:r>
      <w:r w:rsidR="00AA657C">
        <w:rPr>
          <w:bCs/>
          <w:color w:val="000000" w:themeColor="text1"/>
        </w:rPr>
        <w:t xml:space="preserve"> pre-trial</w:t>
      </w:r>
      <w:r w:rsidR="003A105E">
        <w:rPr>
          <w:bCs/>
          <w:color w:val="000000" w:themeColor="text1"/>
        </w:rPr>
        <w:t xml:space="preserve"> progress of the</w:t>
      </w:r>
      <w:r w:rsidR="00AA657C">
        <w:rPr>
          <w:bCs/>
          <w:color w:val="000000" w:themeColor="text1"/>
        </w:rPr>
        <w:t xml:space="preserve"> RBS case </w:t>
      </w:r>
      <w:r>
        <w:rPr>
          <w:bCs/>
          <w:color w:val="000000" w:themeColor="text1"/>
        </w:rPr>
        <w:t xml:space="preserve">are received </w:t>
      </w:r>
      <w:r w:rsidR="003A105E">
        <w:rPr>
          <w:bCs/>
          <w:color w:val="000000" w:themeColor="text1"/>
        </w:rPr>
        <w:t>from the law firm representing the group.</w:t>
      </w:r>
      <w:r w:rsidR="002259B3">
        <w:rPr>
          <w:bCs/>
          <w:color w:val="000000" w:themeColor="text1"/>
        </w:rPr>
        <w:t xml:space="preserve">  </w:t>
      </w:r>
      <w:r w:rsidR="00ED2BF4" w:rsidRPr="003A105E">
        <w:rPr>
          <w:bCs/>
          <w:color w:val="000000" w:themeColor="text1"/>
        </w:rPr>
        <w:t xml:space="preserve">Since the previous meeting of the Committee, a </w:t>
      </w:r>
      <w:r w:rsidR="006256C5" w:rsidRPr="003A105E">
        <w:rPr>
          <w:bCs/>
          <w:color w:val="000000" w:themeColor="text1"/>
        </w:rPr>
        <w:t>6</w:t>
      </w:r>
      <w:r w:rsidR="006256C5" w:rsidRPr="003A105E">
        <w:rPr>
          <w:bCs/>
          <w:color w:val="000000" w:themeColor="text1"/>
          <w:vertAlign w:val="superscript"/>
        </w:rPr>
        <w:t>th</w:t>
      </w:r>
      <w:r w:rsidR="006256C5" w:rsidRPr="003A105E">
        <w:rPr>
          <w:bCs/>
          <w:color w:val="000000" w:themeColor="text1"/>
        </w:rPr>
        <w:t xml:space="preserve"> </w:t>
      </w:r>
      <w:r w:rsidR="00ED2BF4" w:rsidRPr="003A105E">
        <w:rPr>
          <w:bCs/>
          <w:color w:val="000000" w:themeColor="text1"/>
        </w:rPr>
        <w:t xml:space="preserve">Case Management Conference (CMC) </w:t>
      </w:r>
      <w:r w:rsidR="001E1715" w:rsidRPr="003A105E">
        <w:rPr>
          <w:bCs/>
          <w:color w:val="000000" w:themeColor="text1"/>
        </w:rPr>
        <w:t xml:space="preserve">has taken </w:t>
      </w:r>
      <w:r w:rsidR="006256C5" w:rsidRPr="003A105E">
        <w:rPr>
          <w:bCs/>
          <w:color w:val="000000" w:themeColor="text1"/>
        </w:rPr>
        <w:t xml:space="preserve">place </w:t>
      </w:r>
      <w:r w:rsidR="006256C5" w:rsidRPr="007B01EE">
        <w:rPr>
          <w:bCs/>
          <w:color w:val="000000" w:themeColor="text1"/>
        </w:rPr>
        <w:t>at the High Court in London</w:t>
      </w:r>
      <w:r w:rsidR="001E1715" w:rsidRPr="003A105E">
        <w:rPr>
          <w:bCs/>
          <w:color w:val="000000" w:themeColor="text1"/>
        </w:rPr>
        <w:t xml:space="preserve"> (</w:t>
      </w:r>
      <w:r w:rsidR="001E1715" w:rsidRPr="007B01EE">
        <w:rPr>
          <w:bCs/>
          <w:color w:val="000000" w:themeColor="text1"/>
        </w:rPr>
        <w:t>Tuesday 17 March 2015)</w:t>
      </w:r>
      <w:r w:rsidR="00ED2BF4" w:rsidRPr="003A105E">
        <w:rPr>
          <w:bCs/>
          <w:color w:val="000000" w:themeColor="text1"/>
        </w:rPr>
        <w:t xml:space="preserve">. </w:t>
      </w:r>
      <w:r w:rsidR="003A105E" w:rsidRPr="007B01EE">
        <w:rPr>
          <w:bCs/>
          <w:color w:val="000000" w:themeColor="text1"/>
        </w:rPr>
        <w:t>The o</w:t>
      </w:r>
      <w:r w:rsidR="002259B3" w:rsidRPr="007B01EE">
        <w:rPr>
          <w:bCs/>
          <w:color w:val="000000" w:themeColor="text1"/>
        </w:rPr>
        <w:t>utcome</w:t>
      </w:r>
      <w:r w:rsidR="007357EE" w:rsidRPr="007B01EE">
        <w:rPr>
          <w:bCs/>
          <w:color w:val="000000" w:themeColor="text1"/>
        </w:rPr>
        <w:t xml:space="preserve"> </w:t>
      </w:r>
      <w:r w:rsidRPr="007B01EE">
        <w:rPr>
          <w:bCs/>
          <w:color w:val="000000" w:themeColor="text1"/>
        </w:rPr>
        <w:t>was</w:t>
      </w:r>
      <w:r w:rsidR="003A105E" w:rsidRPr="007B01EE">
        <w:rPr>
          <w:bCs/>
          <w:color w:val="000000" w:themeColor="text1"/>
        </w:rPr>
        <w:t xml:space="preserve"> reported</w:t>
      </w:r>
      <w:r w:rsidRPr="007B01EE">
        <w:rPr>
          <w:bCs/>
          <w:color w:val="000000" w:themeColor="text1"/>
        </w:rPr>
        <w:t>ly</w:t>
      </w:r>
      <w:r w:rsidR="003A105E" w:rsidRPr="007B01EE">
        <w:rPr>
          <w:bCs/>
          <w:color w:val="000000" w:themeColor="text1"/>
        </w:rPr>
        <w:t xml:space="preserve"> </w:t>
      </w:r>
      <w:r w:rsidRPr="007B01EE">
        <w:rPr>
          <w:bCs/>
          <w:color w:val="000000" w:themeColor="text1"/>
        </w:rPr>
        <w:t xml:space="preserve">very positive for </w:t>
      </w:r>
      <w:r w:rsidR="00757B06" w:rsidRPr="007B01EE">
        <w:rPr>
          <w:bCs/>
          <w:color w:val="000000" w:themeColor="text1"/>
        </w:rPr>
        <w:t>c</w:t>
      </w:r>
      <w:r w:rsidR="002F4B8E" w:rsidRPr="007B01EE">
        <w:rPr>
          <w:bCs/>
          <w:color w:val="000000" w:themeColor="text1"/>
        </w:rPr>
        <w:t>laimant</w:t>
      </w:r>
      <w:r w:rsidRPr="007B01EE">
        <w:rPr>
          <w:bCs/>
          <w:color w:val="000000" w:themeColor="text1"/>
        </w:rPr>
        <w:t>s</w:t>
      </w:r>
      <w:r w:rsidR="00AA657C" w:rsidRPr="007B01EE">
        <w:rPr>
          <w:bCs/>
          <w:color w:val="000000" w:themeColor="text1"/>
        </w:rPr>
        <w:t xml:space="preserve"> w</w:t>
      </w:r>
      <w:r w:rsidR="00767C8E" w:rsidRPr="007B01EE">
        <w:rPr>
          <w:bCs/>
          <w:color w:val="000000" w:themeColor="text1"/>
        </w:rPr>
        <w:t>ith</w:t>
      </w:r>
      <w:r w:rsidR="002F4B8E" w:rsidRPr="007B01EE">
        <w:rPr>
          <w:bCs/>
          <w:color w:val="000000" w:themeColor="text1"/>
        </w:rPr>
        <w:t xml:space="preserve"> </w:t>
      </w:r>
      <w:r w:rsidR="007357EE" w:rsidRPr="007B01EE">
        <w:rPr>
          <w:bCs/>
          <w:color w:val="000000" w:themeColor="text1"/>
        </w:rPr>
        <w:t xml:space="preserve">progress </w:t>
      </w:r>
      <w:r w:rsidR="00711F11" w:rsidRPr="007B01EE">
        <w:rPr>
          <w:bCs/>
          <w:color w:val="000000" w:themeColor="text1"/>
        </w:rPr>
        <w:t xml:space="preserve">having been </w:t>
      </w:r>
      <w:r w:rsidR="007357EE" w:rsidRPr="007B01EE">
        <w:rPr>
          <w:bCs/>
          <w:color w:val="000000" w:themeColor="text1"/>
        </w:rPr>
        <w:t xml:space="preserve">made on </w:t>
      </w:r>
      <w:r w:rsidRPr="007B01EE">
        <w:rPr>
          <w:bCs/>
          <w:color w:val="000000" w:themeColor="text1"/>
        </w:rPr>
        <w:t>each of</w:t>
      </w:r>
      <w:r w:rsidR="007357EE" w:rsidRPr="007B01EE">
        <w:rPr>
          <w:bCs/>
          <w:color w:val="000000" w:themeColor="text1"/>
        </w:rPr>
        <w:t xml:space="preserve"> </w:t>
      </w:r>
      <w:r w:rsidR="003A105E" w:rsidRPr="007B01EE">
        <w:rPr>
          <w:bCs/>
          <w:color w:val="000000" w:themeColor="text1"/>
        </w:rPr>
        <w:t xml:space="preserve">the </w:t>
      </w:r>
      <w:r w:rsidR="00757B06" w:rsidRPr="007B01EE">
        <w:rPr>
          <w:bCs/>
          <w:color w:val="000000" w:themeColor="text1"/>
        </w:rPr>
        <w:t>applications</w:t>
      </w:r>
      <w:r w:rsidR="003A105E" w:rsidRPr="007B01EE">
        <w:rPr>
          <w:bCs/>
          <w:color w:val="000000" w:themeColor="text1"/>
        </w:rPr>
        <w:t xml:space="preserve"> </w:t>
      </w:r>
      <w:r w:rsidR="00757B06" w:rsidRPr="007B01EE">
        <w:rPr>
          <w:bCs/>
          <w:color w:val="000000" w:themeColor="text1"/>
        </w:rPr>
        <w:t>submitted</w:t>
      </w:r>
      <w:r w:rsidRPr="007B01EE">
        <w:rPr>
          <w:bCs/>
          <w:color w:val="000000" w:themeColor="text1"/>
        </w:rPr>
        <w:t xml:space="preserve"> </w:t>
      </w:r>
      <w:r w:rsidR="007357EE" w:rsidRPr="007B01EE">
        <w:rPr>
          <w:bCs/>
          <w:color w:val="000000" w:themeColor="text1"/>
        </w:rPr>
        <w:t xml:space="preserve">namely, </w:t>
      </w:r>
      <w:r w:rsidR="00757B06" w:rsidRPr="007B01EE">
        <w:rPr>
          <w:bCs/>
          <w:color w:val="000000" w:themeColor="text1"/>
        </w:rPr>
        <w:t>on</w:t>
      </w:r>
      <w:r w:rsidR="002F4B8E" w:rsidRPr="007B01EE">
        <w:rPr>
          <w:bCs/>
          <w:color w:val="000000" w:themeColor="text1"/>
        </w:rPr>
        <w:t xml:space="preserve"> </w:t>
      </w:r>
      <w:r w:rsidR="0059650D" w:rsidRPr="007B01EE">
        <w:rPr>
          <w:bCs/>
          <w:color w:val="000000" w:themeColor="text1"/>
        </w:rPr>
        <w:t xml:space="preserve">the nature and speed of </w:t>
      </w:r>
      <w:r w:rsidR="002F4B8E" w:rsidRPr="007B01EE">
        <w:rPr>
          <w:bCs/>
          <w:color w:val="000000" w:themeColor="text1"/>
        </w:rPr>
        <w:t xml:space="preserve">RBS’s disclosure, </w:t>
      </w:r>
      <w:r w:rsidR="002259B3" w:rsidRPr="007B01EE">
        <w:rPr>
          <w:bCs/>
          <w:color w:val="000000" w:themeColor="text1"/>
        </w:rPr>
        <w:t xml:space="preserve">on </w:t>
      </w:r>
      <w:r w:rsidR="00757B06" w:rsidRPr="007B01EE">
        <w:rPr>
          <w:bCs/>
          <w:color w:val="000000" w:themeColor="text1"/>
        </w:rPr>
        <w:t xml:space="preserve">a </w:t>
      </w:r>
      <w:r w:rsidR="002F4B8E" w:rsidRPr="007B01EE">
        <w:rPr>
          <w:bCs/>
          <w:color w:val="000000" w:themeColor="text1"/>
        </w:rPr>
        <w:t>timeframe</w:t>
      </w:r>
      <w:r w:rsidR="00486D4A" w:rsidRPr="007B01EE">
        <w:rPr>
          <w:bCs/>
          <w:color w:val="000000" w:themeColor="text1"/>
        </w:rPr>
        <w:t xml:space="preserve"> for RBS to provide further information on their case, </w:t>
      </w:r>
      <w:r w:rsidR="003A105E" w:rsidRPr="007B01EE">
        <w:rPr>
          <w:bCs/>
          <w:color w:val="000000" w:themeColor="text1"/>
        </w:rPr>
        <w:t xml:space="preserve">and </w:t>
      </w:r>
      <w:r w:rsidR="002259B3" w:rsidRPr="007B01EE">
        <w:rPr>
          <w:bCs/>
          <w:color w:val="000000" w:themeColor="text1"/>
        </w:rPr>
        <w:t xml:space="preserve">on </w:t>
      </w:r>
      <w:r w:rsidR="003A105E" w:rsidRPr="007B01EE">
        <w:rPr>
          <w:bCs/>
          <w:color w:val="000000" w:themeColor="text1"/>
        </w:rPr>
        <w:t xml:space="preserve">an </w:t>
      </w:r>
      <w:r w:rsidR="00711F11" w:rsidRPr="007B01EE">
        <w:rPr>
          <w:bCs/>
          <w:color w:val="000000" w:themeColor="text1"/>
        </w:rPr>
        <w:t>agreement regarding</w:t>
      </w:r>
      <w:r w:rsidR="00757B06" w:rsidRPr="007B01EE">
        <w:rPr>
          <w:bCs/>
          <w:color w:val="000000" w:themeColor="text1"/>
        </w:rPr>
        <w:t xml:space="preserve"> </w:t>
      </w:r>
      <w:r w:rsidR="00486D4A" w:rsidRPr="007B01EE">
        <w:rPr>
          <w:bCs/>
          <w:color w:val="000000" w:themeColor="text1"/>
        </w:rPr>
        <w:t>disclosure</w:t>
      </w:r>
      <w:r w:rsidR="002F4B8E" w:rsidRPr="007B01EE">
        <w:rPr>
          <w:bCs/>
          <w:color w:val="000000" w:themeColor="text1"/>
        </w:rPr>
        <w:t>s</w:t>
      </w:r>
      <w:r w:rsidR="0059650D" w:rsidRPr="007B01EE">
        <w:rPr>
          <w:bCs/>
          <w:color w:val="000000" w:themeColor="text1"/>
        </w:rPr>
        <w:t xml:space="preserve"> by the Director Defendants</w:t>
      </w:r>
      <w:r w:rsidR="00486D4A" w:rsidRPr="007B01EE">
        <w:rPr>
          <w:bCs/>
          <w:color w:val="000000" w:themeColor="text1"/>
        </w:rPr>
        <w:t>.</w:t>
      </w:r>
    </w:p>
    <w:p w:rsidR="00757B06" w:rsidRPr="007B01EE" w:rsidRDefault="00757B06" w:rsidP="00757B06">
      <w:pPr>
        <w:pStyle w:val="Default"/>
        <w:rPr>
          <w:rFonts w:cs="Times New Roman"/>
          <w:bCs/>
          <w:color w:val="000000" w:themeColor="text1"/>
          <w:szCs w:val="20"/>
        </w:rPr>
      </w:pPr>
      <w:r w:rsidRPr="007B01EE">
        <w:rPr>
          <w:rFonts w:cs="Times New Roman"/>
          <w:bCs/>
          <w:color w:val="000000" w:themeColor="text1"/>
          <w:szCs w:val="20"/>
        </w:rPr>
        <w:t>A further (7th) CMC is scheduled for 28-30 July 2015</w:t>
      </w:r>
      <w:r w:rsidR="00AA657C" w:rsidRPr="007B01EE">
        <w:rPr>
          <w:rFonts w:cs="Times New Roman"/>
          <w:bCs/>
          <w:color w:val="000000" w:themeColor="text1"/>
          <w:szCs w:val="20"/>
        </w:rPr>
        <w:t xml:space="preserve"> </w:t>
      </w:r>
      <w:r w:rsidR="00767C8E" w:rsidRPr="007B01EE">
        <w:rPr>
          <w:rFonts w:cs="Times New Roman"/>
          <w:bCs/>
          <w:color w:val="000000" w:themeColor="text1"/>
          <w:szCs w:val="20"/>
        </w:rPr>
        <w:t>and the</w:t>
      </w:r>
      <w:r w:rsidRPr="007B01EE">
        <w:rPr>
          <w:rFonts w:cs="Times New Roman"/>
          <w:bCs/>
          <w:color w:val="000000" w:themeColor="text1"/>
          <w:szCs w:val="20"/>
        </w:rPr>
        <w:t xml:space="preserve"> trial date </w:t>
      </w:r>
      <w:r w:rsidR="00767C8E" w:rsidRPr="007B01EE">
        <w:rPr>
          <w:rFonts w:cs="Times New Roman"/>
          <w:bCs/>
          <w:color w:val="000000" w:themeColor="text1"/>
          <w:szCs w:val="20"/>
        </w:rPr>
        <w:t xml:space="preserve">is </w:t>
      </w:r>
      <w:r w:rsidR="00AA657C" w:rsidRPr="007B01EE">
        <w:rPr>
          <w:rFonts w:cs="Times New Roman"/>
          <w:bCs/>
          <w:color w:val="000000" w:themeColor="text1"/>
          <w:szCs w:val="20"/>
        </w:rPr>
        <w:t xml:space="preserve">set for </w:t>
      </w:r>
      <w:r w:rsidRPr="007B01EE">
        <w:rPr>
          <w:rFonts w:cs="Times New Roman"/>
          <w:bCs/>
          <w:color w:val="000000" w:themeColor="text1"/>
          <w:szCs w:val="20"/>
        </w:rPr>
        <w:t>7 December 2016</w:t>
      </w:r>
      <w:r w:rsidR="0059650D" w:rsidRPr="007B01EE">
        <w:rPr>
          <w:rFonts w:cs="Times New Roman"/>
          <w:bCs/>
          <w:color w:val="000000" w:themeColor="text1"/>
          <w:szCs w:val="20"/>
        </w:rPr>
        <w:t xml:space="preserve"> with an anticipated trial window </w:t>
      </w:r>
      <w:r w:rsidR="00D97286">
        <w:rPr>
          <w:rFonts w:cs="Times New Roman"/>
          <w:bCs/>
          <w:color w:val="000000" w:themeColor="text1"/>
          <w:szCs w:val="20"/>
        </w:rPr>
        <w:t xml:space="preserve">of </w:t>
      </w:r>
      <w:r w:rsidR="0059650D" w:rsidRPr="007B01EE">
        <w:rPr>
          <w:rFonts w:cs="Times New Roman"/>
          <w:bCs/>
          <w:color w:val="000000" w:themeColor="text1"/>
          <w:szCs w:val="20"/>
        </w:rPr>
        <w:t>2</w:t>
      </w:r>
      <w:r w:rsidRPr="007B01EE">
        <w:rPr>
          <w:rFonts w:cs="Times New Roman"/>
          <w:bCs/>
          <w:color w:val="000000" w:themeColor="text1"/>
          <w:szCs w:val="20"/>
        </w:rPr>
        <w:t xml:space="preserve">5 weeks. </w:t>
      </w:r>
      <w:r w:rsidR="002259B3" w:rsidRPr="007B01EE">
        <w:rPr>
          <w:rFonts w:cs="Times New Roman"/>
          <w:bCs/>
          <w:color w:val="000000" w:themeColor="text1"/>
          <w:szCs w:val="20"/>
        </w:rPr>
        <w:t xml:space="preserve"> </w:t>
      </w:r>
    </w:p>
    <w:p w:rsidR="002F4B8E" w:rsidRDefault="002F4B8E" w:rsidP="002F4B8E">
      <w:pPr>
        <w:pStyle w:val="Default"/>
        <w:rPr>
          <w:sz w:val="22"/>
          <w:szCs w:val="22"/>
        </w:rPr>
      </w:pPr>
    </w:p>
    <w:p w:rsidR="00E54797" w:rsidRDefault="00AA657C" w:rsidP="0016562E">
      <w:pPr>
        <w:autoSpaceDE w:val="0"/>
        <w:autoSpaceDN w:val="0"/>
        <w:adjustRightInd w:val="0"/>
        <w:rPr>
          <w:rFonts w:cs="Arial"/>
          <w:szCs w:val="24"/>
        </w:rPr>
      </w:pPr>
      <w:r>
        <w:rPr>
          <w:rFonts w:cs="Arial"/>
          <w:szCs w:val="24"/>
        </w:rPr>
        <w:t>Voting, e</w:t>
      </w:r>
      <w:r w:rsidR="00711F11">
        <w:rPr>
          <w:rFonts w:cs="Arial"/>
          <w:szCs w:val="24"/>
        </w:rPr>
        <w:t>nga</w:t>
      </w:r>
      <w:r>
        <w:rPr>
          <w:rFonts w:cs="Arial"/>
          <w:szCs w:val="24"/>
        </w:rPr>
        <w:t>gement and l</w:t>
      </w:r>
      <w:r w:rsidR="00AB4E69">
        <w:rPr>
          <w:rFonts w:cs="Arial"/>
          <w:szCs w:val="24"/>
        </w:rPr>
        <w:t xml:space="preserve">itigation are </w:t>
      </w:r>
      <w:r w:rsidR="0059650D">
        <w:rPr>
          <w:rFonts w:cs="Arial"/>
          <w:szCs w:val="24"/>
        </w:rPr>
        <w:t xml:space="preserve">all </w:t>
      </w:r>
      <w:r w:rsidR="00AB4E69">
        <w:rPr>
          <w:rFonts w:cs="Arial"/>
          <w:szCs w:val="24"/>
        </w:rPr>
        <w:t xml:space="preserve">activities </w:t>
      </w:r>
      <w:r w:rsidR="00E54797">
        <w:rPr>
          <w:rFonts w:cs="Arial"/>
          <w:szCs w:val="24"/>
        </w:rPr>
        <w:t xml:space="preserve">undertaken </w:t>
      </w:r>
      <w:r w:rsidR="007412D7" w:rsidRPr="00555B02">
        <w:rPr>
          <w:rFonts w:cs="Arial"/>
          <w:b/>
          <w:szCs w:val="24"/>
        </w:rPr>
        <w:t>after</w:t>
      </w:r>
      <w:r w:rsidR="00B45311">
        <w:rPr>
          <w:rFonts w:cs="Arial"/>
          <w:szCs w:val="24"/>
        </w:rPr>
        <w:t xml:space="preserve"> a</w:t>
      </w:r>
      <w:r w:rsidR="007412D7">
        <w:rPr>
          <w:rFonts w:cs="Arial"/>
          <w:szCs w:val="24"/>
        </w:rPr>
        <w:t xml:space="preserve"> decision to invest has been made. They form part of a fiduciary commitment to maximis</w:t>
      </w:r>
      <w:r w:rsidR="00B45311">
        <w:rPr>
          <w:rFonts w:cs="Arial"/>
          <w:szCs w:val="24"/>
        </w:rPr>
        <w:t>ing</w:t>
      </w:r>
      <w:r w:rsidR="007412D7">
        <w:rPr>
          <w:rFonts w:cs="Arial"/>
          <w:szCs w:val="24"/>
        </w:rPr>
        <w:t xml:space="preserve"> financial returns </w:t>
      </w:r>
      <w:r w:rsidR="00F265CC">
        <w:rPr>
          <w:rFonts w:cs="Arial"/>
          <w:szCs w:val="24"/>
        </w:rPr>
        <w:t>through</w:t>
      </w:r>
      <w:r w:rsidR="00B45311">
        <w:rPr>
          <w:rFonts w:cs="Arial"/>
          <w:szCs w:val="24"/>
        </w:rPr>
        <w:t xml:space="preserve"> </w:t>
      </w:r>
      <w:r w:rsidR="0059650D">
        <w:rPr>
          <w:rFonts w:cs="Arial"/>
          <w:szCs w:val="24"/>
        </w:rPr>
        <w:t xml:space="preserve">actively </w:t>
      </w:r>
      <w:r w:rsidR="00B45311">
        <w:rPr>
          <w:rFonts w:cs="Arial"/>
          <w:szCs w:val="24"/>
        </w:rPr>
        <w:t>seeking to reduce</w:t>
      </w:r>
      <w:r w:rsidR="007412D7">
        <w:rPr>
          <w:rFonts w:cs="Arial"/>
          <w:szCs w:val="24"/>
        </w:rPr>
        <w:t xml:space="preserve"> </w:t>
      </w:r>
      <w:r w:rsidR="00B45311">
        <w:rPr>
          <w:rFonts w:cs="Arial"/>
          <w:szCs w:val="24"/>
        </w:rPr>
        <w:t xml:space="preserve">risk </w:t>
      </w:r>
      <w:r w:rsidR="007412D7">
        <w:rPr>
          <w:rFonts w:cs="Arial"/>
          <w:szCs w:val="24"/>
        </w:rPr>
        <w:t>exposure</w:t>
      </w:r>
      <w:r w:rsidR="00B45311">
        <w:rPr>
          <w:rFonts w:cs="Arial"/>
          <w:szCs w:val="24"/>
        </w:rPr>
        <w:t xml:space="preserve"> though </w:t>
      </w:r>
      <w:r w:rsidR="0059650D">
        <w:rPr>
          <w:rFonts w:cs="Arial"/>
          <w:szCs w:val="24"/>
        </w:rPr>
        <w:t xml:space="preserve">the adoption of </w:t>
      </w:r>
      <w:r w:rsidR="007412D7">
        <w:rPr>
          <w:rFonts w:cs="Arial"/>
          <w:szCs w:val="24"/>
        </w:rPr>
        <w:t>socially responsible policies, forward investment</w:t>
      </w:r>
      <w:r>
        <w:rPr>
          <w:rFonts w:cs="Arial"/>
          <w:szCs w:val="24"/>
        </w:rPr>
        <w:t>s</w:t>
      </w:r>
      <w:r w:rsidR="007412D7">
        <w:rPr>
          <w:rFonts w:cs="Arial"/>
          <w:szCs w:val="24"/>
        </w:rPr>
        <w:t xml:space="preserve"> in sustainability and high standards of corporate governance</w:t>
      </w:r>
      <w:r w:rsidR="00555B02">
        <w:rPr>
          <w:rFonts w:cs="Arial"/>
          <w:szCs w:val="24"/>
        </w:rPr>
        <w:t xml:space="preserve"> by investee companies</w:t>
      </w:r>
      <w:r w:rsidR="007412D7">
        <w:rPr>
          <w:rFonts w:cs="Arial"/>
          <w:szCs w:val="24"/>
        </w:rPr>
        <w:t>.</w:t>
      </w:r>
      <w:r w:rsidR="007412D7" w:rsidRPr="007412D7">
        <w:rPr>
          <w:rFonts w:cs="Arial"/>
          <w:szCs w:val="24"/>
        </w:rPr>
        <w:t xml:space="preserve"> </w:t>
      </w:r>
      <w:r w:rsidR="00E54797">
        <w:rPr>
          <w:rFonts w:cs="Arial"/>
          <w:szCs w:val="24"/>
        </w:rPr>
        <w:t>The fourth strand in</w:t>
      </w:r>
      <w:r w:rsidR="00AB4E69">
        <w:rPr>
          <w:rFonts w:cs="Arial"/>
          <w:szCs w:val="24"/>
        </w:rPr>
        <w:t xml:space="preserve"> the</w:t>
      </w:r>
      <w:r w:rsidR="00E54797">
        <w:rPr>
          <w:rFonts w:cs="Arial"/>
          <w:szCs w:val="24"/>
        </w:rPr>
        <w:t xml:space="preserve"> Fund's</w:t>
      </w:r>
      <w:r w:rsidR="00AB4E69">
        <w:rPr>
          <w:rFonts w:cs="Arial"/>
          <w:szCs w:val="24"/>
        </w:rPr>
        <w:t xml:space="preserve"> </w:t>
      </w:r>
      <w:r w:rsidR="007412D7">
        <w:rPr>
          <w:rFonts w:cs="Arial"/>
          <w:szCs w:val="24"/>
        </w:rPr>
        <w:t xml:space="preserve">approach to </w:t>
      </w:r>
      <w:r w:rsidR="00AB4E69">
        <w:rPr>
          <w:rFonts w:cs="Arial"/>
          <w:szCs w:val="24"/>
        </w:rPr>
        <w:t xml:space="preserve">RI </w:t>
      </w:r>
      <w:r w:rsidR="00555B02">
        <w:rPr>
          <w:rFonts w:cs="Arial"/>
          <w:szCs w:val="24"/>
        </w:rPr>
        <w:t xml:space="preserve">focusses on activity </w:t>
      </w:r>
      <w:r w:rsidR="00767C8E">
        <w:rPr>
          <w:rFonts w:cs="Arial"/>
          <w:szCs w:val="24"/>
        </w:rPr>
        <w:t xml:space="preserve">undertaken </w:t>
      </w:r>
      <w:r w:rsidR="00555B02" w:rsidRPr="00555B02">
        <w:rPr>
          <w:rFonts w:cs="Arial"/>
          <w:b/>
          <w:szCs w:val="24"/>
        </w:rPr>
        <w:t>before</w:t>
      </w:r>
      <w:r w:rsidR="00555B02">
        <w:rPr>
          <w:rFonts w:cs="Arial"/>
          <w:szCs w:val="24"/>
        </w:rPr>
        <w:t xml:space="preserve"> </w:t>
      </w:r>
      <w:r w:rsidR="00B45311">
        <w:rPr>
          <w:rFonts w:cs="Arial"/>
          <w:szCs w:val="24"/>
        </w:rPr>
        <w:t>an investment takes place</w:t>
      </w:r>
      <w:r w:rsidR="0059650D">
        <w:rPr>
          <w:rFonts w:cs="Arial"/>
          <w:szCs w:val="24"/>
        </w:rPr>
        <w:t>. It</w:t>
      </w:r>
      <w:r w:rsidR="00B45311">
        <w:rPr>
          <w:rFonts w:cs="Arial"/>
          <w:szCs w:val="24"/>
        </w:rPr>
        <w:t xml:space="preserve"> </w:t>
      </w:r>
      <w:r w:rsidR="00E54797">
        <w:rPr>
          <w:rFonts w:cs="Arial"/>
          <w:szCs w:val="24"/>
        </w:rPr>
        <w:t xml:space="preserve">relates to </w:t>
      </w:r>
      <w:r w:rsidR="00B45311">
        <w:rPr>
          <w:rFonts w:cs="Arial"/>
          <w:szCs w:val="24"/>
        </w:rPr>
        <w:t xml:space="preserve">how </w:t>
      </w:r>
      <w:r w:rsidR="0059650D">
        <w:rPr>
          <w:rFonts w:cs="Arial"/>
          <w:szCs w:val="24"/>
        </w:rPr>
        <w:t>ESG</w:t>
      </w:r>
      <w:r w:rsidR="00502A79">
        <w:rPr>
          <w:rFonts w:cs="Arial"/>
          <w:szCs w:val="24"/>
        </w:rPr>
        <w:t xml:space="preserve"> </w:t>
      </w:r>
      <w:r w:rsidR="00E54797">
        <w:rPr>
          <w:rFonts w:cs="Arial"/>
          <w:szCs w:val="24"/>
        </w:rPr>
        <w:t xml:space="preserve">characteristics </w:t>
      </w:r>
      <w:r w:rsidR="00B45311">
        <w:rPr>
          <w:rFonts w:cs="Arial"/>
          <w:szCs w:val="24"/>
        </w:rPr>
        <w:t>feature in</w:t>
      </w:r>
      <w:r w:rsidR="00E54797">
        <w:rPr>
          <w:rFonts w:cs="Arial"/>
          <w:szCs w:val="24"/>
        </w:rPr>
        <w:t xml:space="preserve"> the </w:t>
      </w:r>
      <w:r w:rsidR="007412D7">
        <w:rPr>
          <w:rFonts w:cs="Arial"/>
          <w:szCs w:val="24"/>
        </w:rPr>
        <w:t xml:space="preserve">identification </w:t>
      </w:r>
      <w:r w:rsidR="00E54797">
        <w:rPr>
          <w:rFonts w:cs="Arial"/>
          <w:szCs w:val="24"/>
        </w:rPr>
        <w:t xml:space="preserve">of </w:t>
      </w:r>
      <w:r w:rsidR="00555B02">
        <w:rPr>
          <w:rFonts w:cs="Arial"/>
          <w:szCs w:val="24"/>
        </w:rPr>
        <w:t xml:space="preserve">potential </w:t>
      </w:r>
      <w:r w:rsidR="00767C8E">
        <w:rPr>
          <w:rFonts w:cs="Arial"/>
          <w:szCs w:val="24"/>
        </w:rPr>
        <w:t xml:space="preserve">opportunities </w:t>
      </w:r>
      <w:r w:rsidR="0059650D">
        <w:rPr>
          <w:rFonts w:cs="Arial"/>
          <w:szCs w:val="24"/>
        </w:rPr>
        <w:t>and in the process of selecting between shortlisted investments</w:t>
      </w:r>
      <w:r w:rsidR="00E54797">
        <w:rPr>
          <w:rFonts w:cs="Arial"/>
          <w:szCs w:val="24"/>
        </w:rPr>
        <w:t>.</w:t>
      </w:r>
    </w:p>
    <w:p w:rsidR="00711F11" w:rsidRDefault="00711F11" w:rsidP="0016562E">
      <w:pPr>
        <w:autoSpaceDE w:val="0"/>
        <w:autoSpaceDN w:val="0"/>
        <w:adjustRightInd w:val="0"/>
        <w:rPr>
          <w:rFonts w:cs="Arial"/>
          <w:i/>
          <w:color w:val="000000" w:themeColor="text1"/>
          <w:szCs w:val="24"/>
        </w:rPr>
      </w:pPr>
    </w:p>
    <w:p w:rsidR="00DB1028" w:rsidRDefault="00DB1028" w:rsidP="0016562E">
      <w:pPr>
        <w:autoSpaceDE w:val="0"/>
        <w:autoSpaceDN w:val="0"/>
        <w:adjustRightInd w:val="0"/>
        <w:rPr>
          <w:rFonts w:cs="Arial"/>
          <w:i/>
          <w:color w:val="000000" w:themeColor="text1"/>
          <w:szCs w:val="24"/>
        </w:rPr>
      </w:pPr>
    </w:p>
    <w:p w:rsidR="0016562E" w:rsidRPr="007B01EE" w:rsidRDefault="00D97286" w:rsidP="0016562E">
      <w:pPr>
        <w:autoSpaceDE w:val="0"/>
        <w:autoSpaceDN w:val="0"/>
        <w:adjustRightInd w:val="0"/>
        <w:rPr>
          <w:rFonts w:cs="Arial"/>
          <w:b/>
          <w:szCs w:val="24"/>
        </w:rPr>
      </w:pPr>
      <w:r w:rsidRPr="007B01EE">
        <w:rPr>
          <w:rFonts w:cs="Arial"/>
          <w:b/>
          <w:szCs w:val="24"/>
        </w:rPr>
        <w:lastRenderedPageBreak/>
        <w:t>4.</w:t>
      </w:r>
      <w:r w:rsidR="0016562E" w:rsidRPr="007B01EE">
        <w:rPr>
          <w:rFonts w:cs="Arial"/>
          <w:b/>
          <w:szCs w:val="24"/>
        </w:rPr>
        <w:t xml:space="preserve"> </w:t>
      </w:r>
      <w:r w:rsidR="00DB1028">
        <w:rPr>
          <w:rFonts w:cs="Arial"/>
          <w:b/>
          <w:szCs w:val="24"/>
        </w:rPr>
        <w:tab/>
      </w:r>
      <w:r w:rsidR="0016562E" w:rsidRPr="007B01EE">
        <w:rPr>
          <w:rFonts w:cs="Arial"/>
          <w:b/>
          <w:szCs w:val="24"/>
        </w:rPr>
        <w:t>Active Investing</w:t>
      </w:r>
    </w:p>
    <w:p w:rsidR="0002150F" w:rsidRDefault="0002150F" w:rsidP="00A7656A">
      <w:pPr>
        <w:autoSpaceDE w:val="0"/>
        <w:autoSpaceDN w:val="0"/>
        <w:adjustRightInd w:val="0"/>
        <w:rPr>
          <w:rFonts w:cs="Arial"/>
          <w:color w:val="000000" w:themeColor="text1"/>
          <w:szCs w:val="24"/>
        </w:rPr>
      </w:pPr>
    </w:p>
    <w:p w:rsidR="00A7656A" w:rsidRDefault="00767C8E" w:rsidP="00A7656A">
      <w:pPr>
        <w:autoSpaceDE w:val="0"/>
        <w:autoSpaceDN w:val="0"/>
        <w:adjustRightInd w:val="0"/>
        <w:rPr>
          <w:rFonts w:cs="Arial"/>
          <w:color w:val="000000" w:themeColor="text1"/>
          <w:szCs w:val="24"/>
        </w:rPr>
      </w:pPr>
      <w:r>
        <w:rPr>
          <w:rFonts w:cs="Arial"/>
          <w:color w:val="000000" w:themeColor="text1"/>
          <w:szCs w:val="24"/>
        </w:rPr>
        <w:t xml:space="preserve">The term active investing implies a conscious effort to select a particular type of investment on the basis that it possesses </w:t>
      </w:r>
      <w:r w:rsidR="00F265CC">
        <w:rPr>
          <w:rFonts w:cs="Arial"/>
          <w:color w:val="000000" w:themeColor="text1"/>
          <w:szCs w:val="24"/>
        </w:rPr>
        <w:t xml:space="preserve">certain </w:t>
      </w:r>
      <w:r>
        <w:rPr>
          <w:rFonts w:cs="Arial"/>
          <w:color w:val="000000" w:themeColor="text1"/>
          <w:szCs w:val="24"/>
        </w:rPr>
        <w:t xml:space="preserve">desirable characteristics. </w:t>
      </w:r>
      <w:r w:rsidR="0016562E" w:rsidRPr="00A7656A">
        <w:rPr>
          <w:rFonts w:cs="Arial"/>
          <w:color w:val="000000" w:themeColor="text1"/>
          <w:szCs w:val="24"/>
        </w:rPr>
        <w:t xml:space="preserve">The Fund </w:t>
      </w:r>
      <w:r w:rsidR="002259B3" w:rsidRPr="00A7656A">
        <w:rPr>
          <w:rFonts w:cs="Arial"/>
          <w:color w:val="000000" w:themeColor="text1"/>
          <w:szCs w:val="24"/>
        </w:rPr>
        <w:t xml:space="preserve">has a </w:t>
      </w:r>
      <w:r w:rsidR="002259B3" w:rsidRPr="0059650D">
        <w:rPr>
          <w:rFonts w:cs="Arial"/>
          <w:color w:val="000000" w:themeColor="text1"/>
          <w:szCs w:val="24"/>
        </w:rPr>
        <w:t xml:space="preserve">track record of investing in opportunities </w:t>
      </w:r>
      <w:r w:rsidR="00A7656A" w:rsidRPr="0059650D">
        <w:rPr>
          <w:rFonts w:cs="Arial"/>
          <w:color w:val="000000" w:themeColor="text1"/>
          <w:szCs w:val="24"/>
        </w:rPr>
        <w:t xml:space="preserve">with </w:t>
      </w:r>
      <w:r w:rsidR="00B45311" w:rsidRPr="0059650D">
        <w:rPr>
          <w:rFonts w:cs="Arial"/>
          <w:color w:val="000000" w:themeColor="text1"/>
          <w:szCs w:val="24"/>
        </w:rPr>
        <w:t xml:space="preserve">strong </w:t>
      </w:r>
      <w:r w:rsidR="0016562E" w:rsidRPr="0059650D">
        <w:rPr>
          <w:rFonts w:cs="Arial"/>
          <w:color w:val="000000" w:themeColor="text1"/>
          <w:szCs w:val="24"/>
        </w:rPr>
        <w:t>ESG characteristics</w:t>
      </w:r>
      <w:r w:rsidR="0059650D" w:rsidRPr="0059650D">
        <w:rPr>
          <w:rFonts w:cs="Arial"/>
          <w:color w:val="000000" w:themeColor="text1"/>
          <w:szCs w:val="24"/>
        </w:rPr>
        <w:t xml:space="preserve"> and</w:t>
      </w:r>
      <w:r w:rsidR="0059650D">
        <w:rPr>
          <w:rFonts w:cs="Arial"/>
          <w:color w:val="000000" w:themeColor="text1"/>
          <w:szCs w:val="24"/>
        </w:rPr>
        <w:t xml:space="preserve"> </w:t>
      </w:r>
      <w:r w:rsidR="00A7656A" w:rsidRPr="00A7656A">
        <w:rPr>
          <w:rFonts w:cs="Arial"/>
          <w:color w:val="000000" w:themeColor="text1"/>
          <w:szCs w:val="24"/>
        </w:rPr>
        <w:t>current</w:t>
      </w:r>
      <w:r w:rsidR="0059650D">
        <w:rPr>
          <w:rFonts w:cs="Arial"/>
          <w:color w:val="000000" w:themeColor="text1"/>
          <w:szCs w:val="24"/>
        </w:rPr>
        <w:t>ly has</w:t>
      </w:r>
      <w:r w:rsidR="00A7656A" w:rsidRPr="00A7656A">
        <w:rPr>
          <w:rFonts w:cs="Arial"/>
          <w:color w:val="000000" w:themeColor="text1"/>
          <w:szCs w:val="24"/>
        </w:rPr>
        <w:t xml:space="preserve"> holdings in</w:t>
      </w:r>
      <w:r w:rsidR="0016562E" w:rsidRPr="00A7656A">
        <w:rPr>
          <w:rFonts w:cs="Arial"/>
          <w:color w:val="000000" w:themeColor="text1"/>
          <w:szCs w:val="24"/>
        </w:rPr>
        <w:t xml:space="preserve"> </w:t>
      </w:r>
      <w:r w:rsidR="00A7656A" w:rsidRPr="00A7656A">
        <w:rPr>
          <w:rFonts w:cs="Arial"/>
          <w:color w:val="000000" w:themeColor="text1"/>
          <w:szCs w:val="24"/>
        </w:rPr>
        <w:t xml:space="preserve">both </w:t>
      </w:r>
      <w:r w:rsidR="0016562E" w:rsidRPr="00A7656A">
        <w:rPr>
          <w:rFonts w:cs="Arial"/>
          <w:color w:val="000000" w:themeColor="text1"/>
          <w:szCs w:val="24"/>
        </w:rPr>
        <w:t>alternative energy</w:t>
      </w:r>
      <w:r w:rsidR="00A7656A" w:rsidRPr="00A7656A">
        <w:rPr>
          <w:rFonts w:cs="Arial"/>
          <w:color w:val="000000" w:themeColor="text1"/>
          <w:szCs w:val="24"/>
        </w:rPr>
        <w:t xml:space="preserve"> and </w:t>
      </w:r>
      <w:r w:rsidR="0016562E" w:rsidRPr="00A7656A">
        <w:rPr>
          <w:rFonts w:cs="Arial"/>
          <w:color w:val="000000" w:themeColor="text1"/>
          <w:szCs w:val="24"/>
        </w:rPr>
        <w:t>clean energy</w:t>
      </w:r>
      <w:r w:rsidR="00A7656A" w:rsidRPr="00A7656A">
        <w:rPr>
          <w:rFonts w:cs="Arial"/>
          <w:color w:val="000000" w:themeColor="text1"/>
          <w:szCs w:val="24"/>
        </w:rPr>
        <w:t xml:space="preserve"> as follows:</w:t>
      </w:r>
    </w:p>
    <w:p w:rsidR="0002150F" w:rsidRPr="00A7656A" w:rsidRDefault="0002150F" w:rsidP="00A7656A">
      <w:pPr>
        <w:autoSpaceDE w:val="0"/>
        <w:autoSpaceDN w:val="0"/>
        <w:adjustRightInd w:val="0"/>
        <w:rPr>
          <w:rFonts w:cs="Arial"/>
          <w:color w:val="000000" w:themeColor="text1"/>
          <w:szCs w:val="24"/>
        </w:rPr>
      </w:pPr>
    </w:p>
    <w:p w:rsidR="00723F0C" w:rsidRPr="00A7656A" w:rsidRDefault="00723F0C" w:rsidP="00A7656A">
      <w:pPr>
        <w:pStyle w:val="ListParagraph"/>
        <w:numPr>
          <w:ilvl w:val="0"/>
          <w:numId w:val="11"/>
        </w:numPr>
        <w:autoSpaceDE w:val="0"/>
        <w:autoSpaceDN w:val="0"/>
        <w:adjustRightInd w:val="0"/>
        <w:rPr>
          <w:rFonts w:cs="Arial"/>
          <w:color w:val="000000" w:themeColor="text1"/>
          <w:szCs w:val="24"/>
        </w:rPr>
      </w:pPr>
      <w:r w:rsidRPr="00A7656A">
        <w:rPr>
          <w:rFonts w:cs="Arial"/>
          <w:color w:val="000000" w:themeColor="text1"/>
          <w:szCs w:val="24"/>
        </w:rPr>
        <w:t>£12 million invest</w:t>
      </w:r>
      <w:r w:rsidR="00A7656A" w:rsidRPr="00A7656A">
        <w:rPr>
          <w:rFonts w:cs="Arial"/>
          <w:color w:val="000000" w:themeColor="text1"/>
          <w:szCs w:val="24"/>
        </w:rPr>
        <w:t>ed</w:t>
      </w:r>
      <w:r w:rsidR="0059650D">
        <w:rPr>
          <w:rFonts w:cs="Arial"/>
          <w:color w:val="000000" w:themeColor="text1"/>
          <w:szCs w:val="24"/>
        </w:rPr>
        <w:t xml:space="preserve"> in a UK solar co-operative</w:t>
      </w:r>
      <w:r w:rsidR="0002150F">
        <w:rPr>
          <w:rFonts w:cs="Arial"/>
          <w:color w:val="000000" w:themeColor="text1"/>
          <w:szCs w:val="24"/>
        </w:rPr>
        <w:t>;</w:t>
      </w:r>
    </w:p>
    <w:p w:rsidR="00723F0C" w:rsidRPr="00A7656A" w:rsidRDefault="00723F0C" w:rsidP="00723F0C">
      <w:pPr>
        <w:pStyle w:val="ListParagraph"/>
        <w:numPr>
          <w:ilvl w:val="0"/>
          <w:numId w:val="6"/>
        </w:numPr>
        <w:autoSpaceDE w:val="0"/>
        <w:autoSpaceDN w:val="0"/>
        <w:adjustRightInd w:val="0"/>
        <w:contextualSpacing/>
        <w:rPr>
          <w:rFonts w:cs="Arial"/>
          <w:color w:val="000000" w:themeColor="text1"/>
          <w:szCs w:val="24"/>
        </w:rPr>
      </w:pPr>
      <w:r w:rsidRPr="00A7656A">
        <w:rPr>
          <w:rFonts w:cs="Arial"/>
          <w:color w:val="000000" w:themeColor="text1"/>
          <w:szCs w:val="24"/>
        </w:rPr>
        <w:t xml:space="preserve">£14 million </w:t>
      </w:r>
      <w:r w:rsidR="00A7656A" w:rsidRPr="00A7656A">
        <w:rPr>
          <w:rFonts w:cs="Arial"/>
          <w:color w:val="000000" w:themeColor="text1"/>
          <w:szCs w:val="24"/>
        </w:rPr>
        <w:t xml:space="preserve">invested </w:t>
      </w:r>
      <w:r w:rsidR="0059650D">
        <w:rPr>
          <w:rFonts w:cs="Arial"/>
          <w:color w:val="000000" w:themeColor="text1"/>
          <w:szCs w:val="24"/>
        </w:rPr>
        <w:t>in a separate Solar Energy Fund</w:t>
      </w:r>
      <w:r w:rsidR="0002150F">
        <w:rPr>
          <w:rFonts w:cs="Arial"/>
          <w:color w:val="000000" w:themeColor="text1"/>
          <w:szCs w:val="24"/>
        </w:rPr>
        <w:t>;</w:t>
      </w:r>
    </w:p>
    <w:p w:rsidR="00723F0C" w:rsidRPr="00A7656A" w:rsidRDefault="00723F0C" w:rsidP="00723F0C">
      <w:pPr>
        <w:pStyle w:val="ListParagraph"/>
        <w:numPr>
          <w:ilvl w:val="0"/>
          <w:numId w:val="6"/>
        </w:numPr>
        <w:autoSpaceDE w:val="0"/>
        <w:autoSpaceDN w:val="0"/>
        <w:adjustRightInd w:val="0"/>
        <w:contextualSpacing/>
        <w:rPr>
          <w:rFonts w:cs="Arial"/>
          <w:color w:val="000000" w:themeColor="text1"/>
          <w:szCs w:val="24"/>
        </w:rPr>
      </w:pPr>
      <w:r w:rsidRPr="00A7656A">
        <w:rPr>
          <w:rFonts w:cs="Arial"/>
          <w:color w:val="000000" w:themeColor="text1"/>
          <w:szCs w:val="24"/>
        </w:rPr>
        <w:t>Almost £100m in</w:t>
      </w:r>
      <w:r w:rsidR="00A7656A" w:rsidRPr="00A7656A">
        <w:rPr>
          <w:rFonts w:cs="Arial"/>
          <w:color w:val="000000" w:themeColor="text1"/>
          <w:szCs w:val="24"/>
        </w:rPr>
        <w:t>vested in the</w:t>
      </w:r>
      <w:r w:rsidRPr="00A7656A">
        <w:rPr>
          <w:rFonts w:cs="Arial"/>
          <w:color w:val="000000" w:themeColor="text1"/>
          <w:szCs w:val="24"/>
        </w:rPr>
        <w:t xml:space="preserve"> recovery of methane from landfill gas sites and coal mines </w:t>
      </w:r>
      <w:r w:rsidR="00A7656A" w:rsidRPr="00A7656A">
        <w:rPr>
          <w:rFonts w:cs="Arial"/>
          <w:color w:val="000000" w:themeColor="text1"/>
          <w:szCs w:val="24"/>
        </w:rPr>
        <w:t>(for generation of electricity)</w:t>
      </w:r>
      <w:r w:rsidR="0002150F">
        <w:rPr>
          <w:rFonts w:cs="Arial"/>
          <w:color w:val="000000" w:themeColor="text1"/>
          <w:szCs w:val="24"/>
        </w:rPr>
        <w:t>;</w:t>
      </w:r>
    </w:p>
    <w:p w:rsidR="00723F0C" w:rsidRPr="00A7656A" w:rsidRDefault="00723F0C" w:rsidP="00723F0C">
      <w:pPr>
        <w:pStyle w:val="ListParagraph"/>
        <w:numPr>
          <w:ilvl w:val="0"/>
          <w:numId w:val="6"/>
        </w:numPr>
        <w:autoSpaceDE w:val="0"/>
        <w:autoSpaceDN w:val="0"/>
        <w:adjustRightInd w:val="0"/>
        <w:contextualSpacing/>
        <w:rPr>
          <w:rFonts w:cs="Arial"/>
          <w:color w:val="000000" w:themeColor="text1"/>
          <w:szCs w:val="24"/>
        </w:rPr>
      </w:pPr>
      <w:r w:rsidRPr="00A7656A">
        <w:rPr>
          <w:rFonts w:cs="Arial"/>
          <w:color w:val="000000" w:themeColor="text1"/>
          <w:szCs w:val="24"/>
        </w:rPr>
        <w:t>£55m in</w:t>
      </w:r>
      <w:r w:rsidR="00A7656A" w:rsidRPr="00A7656A">
        <w:rPr>
          <w:rFonts w:cs="Arial"/>
          <w:color w:val="000000" w:themeColor="text1"/>
          <w:szCs w:val="24"/>
        </w:rPr>
        <w:t>vested in</w:t>
      </w:r>
      <w:r w:rsidRPr="00A7656A">
        <w:rPr>
          <w:rFonts w:cs="Arial"/>
          <w:color w:val="000000" w:themeColor="text1"/>
          <w:szCs w:val="24"/>
        </w:rPr>
        <w:t xml:space="preserve"> biomass electric</w:t>
      </w:r>
      <w:r w:rsidR="00A7656A" w:rsidRPr="00A7656A">
        <w:rPr>
          <w:rFonts w:cs="Arial"/>
          <w:color w:val="000000" w:themeColor="text1"/>
          <w:szCs w:val="24"/>
        </w:rPr>
        <w:t>ity generating plants</w:t>
      </w:r>
      <w:r w:rsidR="0002150F">
        <w:rPr>
          <w:rFonts w:cs="Arial"/>
          <w:color w:val="000000" w:themeColor="text1"/>
          <w:szCs w:val="24"/>
        </w:rPr>
        <w:t>;</w:t>
      </w:r>
    </w:p>
    <w:p w:rsidR="00723F0C" w:rsidRPr="00A7656A" w:rsidRDefault="00723F0C" w:rsidP="00723F0C">
      <w:pPr>
        <w:pStyle w:val="ListParagraph"/>
        <w:numPr>
          <w:ilvl w:val="0"/>
          <w:numId w:val="6"/>
        </w:numPr>
        <w:autoSpaceDE w:val="0"/>
        <w:autoSpaceDN w:val="0"/>
        <w:adjustRightInd w:val="0"/>
        <w:contextualSpacing/>
        <w:rPr>
          <w:rFonts w:cs="Arial"/>
          <w:color w:val="000000" w:themeColor="text1"/>
          <w:szCs w:val="24"/>
        </w:rPr>
      </w:pPr>
      <w:r w:rsidRPr="00A7656A">
        <w:rPr>
          <w:rFonts w:cs="Arial"/>
          <w:color w:val="000000" w:themeColor="text1"/>
          <w:szCs w:val="24"/>
        </w:rPr>
        <w:t>£30 million commit</w:t>
      </w:r>
      <w:r w:rsidR="00A7656A" w:rsidRPr="00A7656A">
        <w:rPr>
          <w:rFonts w:cs="Arial"/>
          <w:color w:val="000000" w:themeColor="text1"/>
          <w:szCs w:val="24"/>
        </w:rPr>
        <w:t>ted</w:t>
      </w:r>
      <w:r w:rsidRPr="00A7656A">
        <w:rPr>
          <w:rFonts w:cs="Arial"/>
          <w:color w:val="000000" w:themeColor="text1"/>
          <w:szCs w:val="24"/>
        </w:rPr>
        <w:t xml:space="preserve"> to a clean energy fund focussed on wind energy assets</w:t>
      </w:r>
      <w:r w:rsidR="0002150F">
        <w:rPr>
          <w:rFonts w:cs="Arial"/>
          <w:color w:val="000000" w:themeColor="text1"/>
          <w:szCs w:val="24"/>
        </w:rPr>
        <w:t>.</w:t>
      </w:r>
      <w:r w:rsidRPr="00A7656A">
        <w:rPr>
          <w:rFonts w:cs="Arial"/>
          <w:color w:val="000000" w:themeColor="text1"/>
          <w:szCs w:val="24"/>
        </w:rPr>
        <w:t xml:space="preserve"> </w:t>
      </w:r>
    </w:p>
    <w:p w:rsidR="0002150F" w:rsidRDefault="0002150F" w:rsidP="00A7656A">
      <w:pPr>
        <w:autoSpaceDE w:val="0"/>
        <w:autoSpaceDN w:val="0"/>
        <w:adjustRightInd w:val="0"/>
        <w:spacing w:after="120"/>
        <w:contextualSpacing/>
        <w:rPr>
          <w:rFonts w:cs="Arial"/>
          <w:color w:val="000000" w:themeColor="text1"/>
          <w:szCs w:val="24"/>
        </w:rPr>
      </w:pPr>
    </w:p>
    <w:p w:rsidR="00723F0C" w:rsidRPr="00A7656A" w:rsidRDefault="00723F0C" w:rsidP="00A7656A">
      <w:pPr>
        <w:autoSpaceDE w:val="0"/>
        <w:autoSpaceDN w:val="0"/>
        <w:adjustRightInd w:val="0"/>
        <w:spacing w:after="120"/>
        <w:contextualSpacing/>
        <w:rPr>
          <w:rFonts w:cs="Arial"/>
          <w:color w:val="000000" w:themeColor="text1"/>
          <w:szCs w:val="24"/>
        </w:rPr>
      </w:pPr>
      <w:r w:rsidRPr="00A7656A">
        <w:rPr>
          <w:rFonts w:cs="Arial"/>
          <w:color w:val="000000" w:themeColor="text1"/>
          <w:szCs w:val="24"/>
        </w:rPr>
        <w:t>In addition</w:t>
      </w:r>
      <w:r w:rsidR="00AA657C">
        <w:rPr>
          <w:rFonts w:cs="Arial"/>
          <w:color w:val="000000" w:themeColor="text1"/>
          <w:szCs w:val="24"/>
        </w:rPr>
        <w:t>,</w:t>
      </w:r>
      <w:r w:rsidRPr="00A7656A">
        <w:rPr>
          <w:rFonts w:cs="Arial"/>
          <w:color w:val="000000" w:themeColor="text1"/>
          <w:szCs w:val="24"/>
        </w:rPr>
        <w:t xml:space="preserve"> the Fund is promoting the installation of photo-voltaic pa</w:t>
      </w:r>
      <w:r w:rsidR="00A7656A" w:rsidRPr="00A7656A">
        <w:rPr>
          <w:rFonts w:cs="Arial"/>
          <w:color w:val="000000" w:themeColor="text1"/>
          <w:szCs w:val="24"/>
        </w:rPr>
        <w:t xml:space="preserve">nels across all suitable roofs within </w:t>
      </w:r>
      <w:r w:rsidRPr="00A7656A">
        <w:rPr>
          <w:rFonts w:cs="Arial"/>
          <w:color w:val="000000" w:themeColor="text1"/>
          <w:szCs w:val="24"/>
        </w:rPr>
        <w:t>its £435m com</w:t>
      </w:r>
      <w:r w:rsidR="00A7656A" w:rsidRPr="00A7656A">
        <w:rPr>
          <w:rFonts w:cs="Arial"/>
          <w:color w:val="000000" w:themeColor="text1"/>
          <w:szCs w:val="24"/>
        </w:rPr>
        <w:t xml:space="preserve">mercial property portfolio. </w:t>
      </w:r>
      <w:r w:rsidRPr="00A7656A">
        <w:rPr>
          <w:rFonts w:cs="Arial"/>
          <w:color w:val="000000" w:themeColor="text1"/>
          <w:szCs w:val="24"/>
        </w:rPr>
        <w:t xml:space="preserve">17 installations </w:t>
      </w:r>
      <w:r w:rsidR="00A7656A" w:rsidRPr="00A7656A">
        <w:rPr>
          <w:rFonts w:cs="Arial"/>
          <w:color w:val="000000" w:themeColor="text1"/>
          <w:szCs w:val="24"/>
        </w:rPr>
        <w:t xml:space="preserve">have been </w:t>
      </w:r>
      <w:r w:rsidRPr="00A7656A">
        <w:rPr>
          <w:rFonts w:cs="Arial"/>
          <w:color w:val="000000" w:themeColor="text1"/>
          <w:szCs w:val="24"/>
        </w:rPr>
        <w:t>agr</w:t>
      </w:r>
      <w:r w:rsidR="00AA657C">
        <w:rPr>
          <w:rFonts w:cs="Arial"/>
          <w:color w:val="000000" w:themeColor="text1"/>
          <w:szCs w:val="24"/>
        </w:rPr>
        <w:t xml:space="preserve">eed with tenants, </w:t>
      </w:r>
      <w:r w:rsidR="0059650D">
        <w:rPr>
          <w:rFonts w:cs="Arial"/>
          <w:color w:val="000000" w:themeColor="text1"/>
          <w:szCs w:val="24"/>
        </w:rPr>
        <w:t xml:space="preserve">represents </w:t>
      </w:r>
      <w:r w:rsidR="00502A79">
        <w:rPr>
          <w:rFonts w:cs="Arial"/>
          <w:color w:val="000000" w:themeColor="text1"/>
          <w:szCs w:val="24"/>
        </w:rPr>
        <w:t>a +</w:t>
      </w:r>
      <w:r w:rsidR="00502A79" w:rsidRPr="00A7656A">
        <w:rPr>
          <w:rFonts w:cs="Arial"/>
          <w:color w:val="000000" w:themeColor="text1"/>
          <w:szCs w:val="24"/>
        </w:rPr>
        <w:t>£3m</w:t>
      </w:r>
      <w:r w:rsidRPr="00A7656A">
        <w:rPr>
          <w:rFonts w:cs="Arial"/>
          <w:color w:val="000000" w:themeColor="text1"/>
          <w:szCs w:val="24"/>
        </w:rPr>
        <w:t xml:space="preserve"> investment in</w:t>
      </w:r>
      <w:r w:rsidR="00502A79">
        <w:rPr>
          <w:rFonts w:cs="Arial"/>
          <w:color w:val="000000" w:themeColor="text1"/>
          <w:szCs w:val="24"/>
        </w:rPr>
        <w:t xml:space="preserve"> solar panels</w:t>
      </w:r>
      <w:r w:rsidR="00A7656A" w:rsidRPr="00A7656A">
        <w:rPr>
          <w:rFonts w:cs="Arial"/>
          <w:color w:val="000000" w:themeColor="text1"/>
          <w:szCs w:val="24"/>
        </w:rPr>
        <w:t xml:space="preserve">. </w:t>
      </w:r>
      <w:r w:rsidRPr="00A7656A">
        <w:rPr>
          <w:rFonts w:cs="Arial"/>
          <w:color w:val="000000" w:themeColor="text1"/>
          <w:szCs w:val="24"/>
        </w:rPr>
        <w:t xml:space="preserve">£180m has been committed </w:t>
      </w:r>
      <w:r w:rsidR="0059650D">
        <w:rPr>
          <w:rFonts w:cs="Arial"/>
          <w:color w:val="000000" w:themeColor="text1"/>
          <w:szCs w:val="24"/>
        </w:rPr>
        <w:t>to a social housing partnership</w:t>
      </w:r>
      <w:r w:rsidRPr="00A7656A">
        <w:rPr>
          <w:rFonts w:cs="Arial"/>
          <w:color w:val="000000" w:themeColor="text1"/>
          <w:szCs w:val="24"/>
        </w:rPr>
        <w:t xml:space="preserve"> of which </w:t>
      </w:r>
      <w:r w:rsidR="00733DA5" w:rsidRPr="00A7656A">
        <w:rPr>
          <w:rFonts w:cs="Arial"/>
          <w:color w:val="000000" w:themeColor="text1"/>
          <w:szCs w:val="24"/>
        </w:rPr>
        <w:t xml:space="preserve">£42 million has </w:t>
      </w:r>
      <w:r w:rsidR="00502A79">
        <w:rPr>
          <w:rFonts w:cs="Arial"/>
          <w:color w:val="000000" w:themeColor="text1"/>
          <w:szCs w:val="24"/>
        </w:rPr>
        <w:t xml:space="preserve">already </w:t>
      </w:r>
      <w:r w:rsidR="00A7656A" w:rsidRPr="00A7656A">
        <w:rPr>
          <w:rFonts w:cs="Arial"/>
          <w:color w:val="000000" w:themeColor="text1"/>
          <w:szCs w:val="24"/>
        </w:rPr>
        <w:t xml:space="preserve">been </w:t>
      </w:r>
      <w:r w:rsidR="00733DA5" w:rsidRPr="00A7656A">
        <w:rPr>
          <w:rFonts w:cs="Arial"/>
          <w:color w:val="000000" w:themeColor="text1"/>
          <w:szCs w:val="24"/>
        </w:rPr>
        <w:t>invested</w:t>
      </w:r>
      <w:r w:rsidRPr="00A7656A">
        <w:rPr>
          <w:rFonts w:cs="Arial"/>
          <w:color w:val="000000" w:themeColor="text1"/>
          <w:szCs w:val="24"/>
        </w:rPr>
        <w:t>.</w:t>
      </w:r>
    </w:p>
    <w:p w:rsidR="0002150F" w:rsidRDefault="0002150F" w:rsidP="007412D7">
      <w:pPr>
        <w:autoSpaceDE w:val="0"/>
        <w:autoSpaceDN w:val="0"/>
        <w:adjustRightInd w:val="0"/>
        <w:rPr>
          <w:rFonts w:cs="Arial"/>
          <w:szCs w:val="24"/>
        </w:rPr>
      </w:pPr>
    </w:p>
    <w:p w:rsidR="00905EDA" w:rsidRDefault="00AA657C" w:rsidP="007412D7">
      <w:pPr>
        <w:autoSpaceDE w:val="0"/>
        <w:autoSpaceDN w:val="0"/>
        <w:adjustRightInd w:val="0"/>
        <w:rPr>
          <w:rFonts w:cs="Arial"/>
          <w:szCs w:val="24"/>
        </w:rPr>
      </w:pPr>
      <w:r w:rsidRPr="00D401F7">
        <w:rPr>
          <w:rFonts w:cs="Arial"/>
          <w:szCs w:val="24"/>
        </w:rPr>
        <w:t xml:space="preserve">The </w:t>
      </w:r>
      <w:r w:rsidR="00D401F7">
        <w:rPr>
          <w:rFonts w:cs="Arial"/>
          <w:szCs w:val="24"/>
        </w:rPr>
        <w:t xml:space="preserve">Fund's </w:t>
      </w:r>
      <w:r w:rsidRPr="00D401F7">
        <w:rPr>
          <w:rFonts w:cs="Arial"/>
          <w:szCs w:val="24"/>
        </w:rPr>
        <w:t xml:space="preserve">approach to actively seeking investments </w:t>
      </w:r>
      <w:r w:rsidR="007412D7">
        <w:rPr>
          <w:rFonts w:cs="Arial"/>
          <w:szCs w:val="24"/>
        </w:rPr>
        <w:t>with ESG characteristics</w:t>
      </w:r>
      <w:r>
        <w:rPr>
          <w:rFonts w:cs="Arial"/>
          <w:szCs w:val="24"/>
        </w:rPr>
        <w:t xml:space="preserve"> </w:t>
      </w:r>
      <w:r w:rsidR="00905EDA">
        <w:rPr>
          <w:rFonts w:cs="Arial"/>
          <w:szCs w:val="24"/>
        </w:rPr>
        <w:t>(</w:t>
      </w:r>
      <w:r w:rsidR="000E117D">
        <w:rPr>
          <w:rFonts w:cs="Arial"/>
          <w:szCs w:val="24"/>
        </w:rPr>
        <w:t xml:space="preserve">and </w:t>
      </w:r>
      <w:r w:rsidR="00905EDA">
        <w:rPr>
          <w:rFonts w:cs="Arial"/>
          <w:szCs w:val="24"/>
        </w:rPr>
        <w:t xml:space="preserve">to </w:t>
      </w:r>
      <w:r w:rsidR="000E117D">
        <w:rPr>
          <w:rFonts w:cs="Arial"/>
          <w:szCs w:val="24"/>
        </w:rPr>
        <w:t xml:space="preserve">taking other actions in </w:t>
      </w:r>
      <w:r w:rsidR="00905EDA">
        <w:rPr>
          <w:rFonts w:cs="Arial"/>
          <w:szCs w:val="24"/>
        </w:rPr>
        <w:t>line with</w:t>
      </w:r>
      <w:r w:rsidR="000E117D">
        <w:rPr>
          <w:rFonts w:cs="Arial"/>
          <w:szCs w:val="24"/>
        </w:rPr>
        <w:t xml:space="preserve"> being a responsible asset owner</w:t>
      </w:r>
      <w:r w:rsidR="00905EDA">
        <w:rPr>
          <w:rFonts w:cs="Arial"/>
          <w:szCs w:val="24"/>
        </w:rPr>
        <w:t>)</w:t>
      </w:r>
      <w:r w:rsidR="000E117D">
        <w:rPr>
          <w:rFonts w:cs="Arial"/>
          <w:szCs w:val="24"/>
        </w:rPr>
        <w:t xml:space="preserve"> </w:t>
      </w:r>
      <w:r>
        <w:rPr>
          <w:rFonts w:cs="Arial"/>
          <w:szCs w:val="24"/>
        </w:rPr>
        <w:t xml:space="preserve">is </w:t>
      </w:r>
      <w:r w:rsidR="00D401F7">
        <w:rPr>
          <w:rFonts w:cs="Arial"/>
          <w:szCs w:val="24"/>
        </w:rPr>
        <w:t xml:space="preserve">an area of </w:t>
      </w:r>
      <w:r w:rsidR="00431DA1">
        <w:rPr>
          <w:rFonts w:cs="Arial"/>
          <w:szCs w:val="24"/>
        </w:rPr>
        <w:t xml:space="preserve">its </w:t>
      </w:r>
      <w:r w:rsidR="00D401F7">
        <w:rPr>
          <w:rFonts w:cs="Arial"/>
          <w:szCs w:val="24"/>
        </w:rPr>
        <w:t>RI strategy which requires further development</w:t>
      </w:r>
      <w:r w:rsidR="009C16F8">
        <w:rPr>
          <w:rFonts w:cs="Arial"/>
          <w:szCs w:val="24"/>
        </w:rPr>
        <w:t xml:space="preserve">. Specifically, it is important for the Fund to </w:t>
      </w:r>
      <w:r w:rsidR="00431DA1">
        <w:rPr>
          <w:rFonts w:cs="Arial"/>
          <w:szCs w:val="24"/>
        </w:rPr>
        <w:t>develop</w:t>
      </w:r>
      <w:r w:rsidR="000E117D">
        <w:rPr>
          <w:rFonts w:cs="Arial"/>
          <w:szCs w:val="24"/>
        </w:rPr>
        <w:t xml:space="preserve"> </w:t>
      </w:r>
      <w:r w:rsidR="009C16F8">
        <w:rPr>
          <w:rFonts w:cs="Arial"/>
          <w:szCs w:val="24"/>
        </w:rPr>
        <w:t>a clearer sta</w:t>
      </w:r>
      <w:r w:rsidR="00117888">
        <w:rPr>
          <w:rFonts w:cs="Arial"/>
          <w:szCs w:val="24"/>
        </w:rPr>
        <w:t xml:space="preserve">tement </w:t>
      </w:r>
      <w:r w:rsidR="000E117D">
        <w:rPr>
          <w:rFonts w:cs="Arial"/>
          <w:szCs w:val="24"/>
        </w:rPr>
        <w:t>about its</w:t>
      </w:r>
      <w:r w:rsidR="00117888">
        <w:rPr>
          <w:rFonts w:cs="Arial"/>
          <w:szCs w:val="24"/>
        </w:rPr>
        <w:t xml:space="preserve"> aspirations </w:t>
      </w:r>
      <w:r w:rsidR="000E117D">
        <w:rPr>
          <w:rFonts w:cs="Arial"/>
          <w:szCs w:val="24"/>
        </w:rPr>
        <w:t xml:space="preserve">with regard to RI </w:t>
      </w:r>
      <w:r w:rsidR="00117888">
        <w:rPr>
          <w:rFonts w:cs="Arial"/>
          <w:szCs w:val="24"/>
        </w:rPr>
        <w:t xml:space="preserve">and </w:t>
      </w:r>
      <w:r w:rsidR="00905EDA">
        <w:rPr>
          <w:rFonts w:cs="Arial"/>
          <w:szCs w:val="24"/>
        </w:rPr>
        <w:t>the approach it will take to achieve them</w:t>
      </w:r>
      <w:r w:rsidR="00D401F7">
        <w:rPr>
          <w:rFonts w:cs="Arial"/>
          <w:szCs w:val="24"/>
        </w:rPr>
        <w:t xml:space="preserve">. </w:t>
      </w:r>
      <w:r w:rsidR="00117888">
        <w:rPr>
          <w:rFonts w:cs="Arial"/>
          <w:szCs w:val="24"/>
        </w:rPr>
        <w:t>The Members W</w:t>
      </w:r>
      <w:r w:rsidR="005D3057">
        <w:rPr>
          <w:rFonts w:cs="Arial"/>
          <w:szCs w:val="24"/>
        </w:rPr>
        <w:t xml:space="preserve">orking Group on Responsible Investment made a series of recommendations </w:t>
      </w:r>
      <w:r w:rsidR="007F189F">
        <w:rPr>
          <w:rFonts w:cs="Arial"/>
          <w:szCs w:val="24"/>
        </w:rPr>
        <w:t xml:space="preserve">for </w:t>
      </w:r>
      <w:r w:rsidR="00117888">
        <w:rPr>
          <w:rFonts w:cs="Arial"/>
          <w:szCs w:val="24"/>
        </w:rPr>
        <w:t xml:space="preserve">specific </w:t>
      </w:r>
      <w:r w:rsidR="007F189F">
        <w:rPr>
          <w:rFonts w:cs="Arial"/>
          <w:szCs w:val="24"/>
        </w:rPr>
        <w:t>actions</w:t>
      </w:r>
      <w:r w:rsidR="00F265CC">
        <w:rPr>
          <w:rFonts w:cs="Arial"/>
          <w:szCs w:val="24"/>
        </w:rPr>
        <w:t xml:space="preserve"> </w:t>
      </w:r>
      <w:r w:rsidR="00431DA1">
        <w:rPr>
          <w:rFonts w:cs="Arial"/>
          <w:szCs w:val="24"/>
        </w:rPr>
        <w:t>which</w:t>
      </w:r>
      <w:r w:rsidR="00117888">
        <w:rPr>
          <w:rFonts w:cs="Arial"/>
          <w:szCs w:val="24"/>
        </w:rPr>
        <w:t xml:space="preserve"> included</w:t>
      </w:r>
      <w:r w:rsidR="007E5C1E">
        <w:rPr>
          <w:rFonts w:cs="Arial"/>
          <w:szCs w:val="24"/>
        </w:rPr>
        <w:t xml:space="preserve"> </w:t>
      </w:r>
      <w:r w:rsidR="007F189F">
        <w:rPr>
          <w:rFonts w:cs="Arial"/>
          <w:szCs w:val="24"/>
        </w:rPr>
        <w:t>(action 5a) the development of a</w:t>
      </w:r>
      <w:r w:rsidR="00431DA1">
        <w:rPr>
          <w:rFonts w:cs="Arial"/>
          <w:szCs w:val="24"/>
        </w:rPr>
        <w:t>n</w:t>
      </w:r>
      <w:r w:rsidR="007F189F">
        <w:rPr>
          <w:rFonts w:cs="Arial"/>
          <w:szCs w:val="24"/>
        </w:rPr>
        <w:t xml:space="preserve"> </w:t>
      </w:r>
      <w:r w:rsidR="00431DA1">
        <w:rPr>
          <w:rFonts w:cs="Arial"/>
          <w:szCs w:val="24"/>
        </w:rPr>
        <w:t>RI</w:t>
      </w:r>
      <w:r w:rsidR="007F189F">
        <w:rPr>
          <w:rFonts w:cs="Arial"/>
          <w:szCs w:val="24"/>
        </w:rPr>
        <w:t xml:space="preserve"> Policy for the Fund. The recruitment of a Financial Policy Officer has brought the additional capacity required to undertake the work </w:t>
      </w:r>
      <w:r w:rsidR="00905EDA">
        <w:rPr>
          <w:rFonts w:cs="Arial"/>
          <w:szCs w:val="24"/>
        </w:rPr>
        <w:t>involved</w:t>
      </w:r>
      <w:r w:rsidR="007F189F">
        <w:rPr>
          <w:rFonts w:cs="Arial"/>
          <w:szCs w:val="24"/>
        </w:rPr>
        <w:t xml:space="preserve"> which, it is recognised, will need to consider </w:t>
      </w:r>
      <w:r w:rsidR="00117888">
        <w:rPr>
          <w:rFonts w:cs="Arial"/>
          <w:szCs w:val="24"/>
        </w:rPr>
        <w:t>the extent to which</w:t>
      </w:r>
      <w:r w:rsidR="007F189F">
        <w:rPr>
          <w:rFonts w:cs="Arial"/>
          <w:szCs w:val="24"/>
        </w:rPr>
        <w:t xml:space="preserve"> Fund </w:t>
      </w:r>
      <w:r w:rsidR="00117888">
        <w:rPr>
          <w:rFonts w:cs="Arial"/>
          <w:szCs w:val="24"/>
        </w:rPr>
        <w:t xml:space="preserve">is seeking to </w:t>
      </w:r>
      <w:r w:rsidR="007F189F">
        <w:rPr>
          <w:rFonts w:cs="Arial"/>
          <w:szCs w:val="24"/>
        </w:rPr>
        <w:t xml:space="preserve">apply ESG criteria to the </w:t>
      </w:r>
      <w:r w:rsidR="00117888">
        <w:rPr>
          <w:rFonts w:cs="Arial"/>
          <w:szCs w:val="24"/>
        </w:rPr>
        <w:t xml:space="preserve">full </w:t>
      </w:r>
      <w:r w:rsidR="007F189F">
        <w:rPr>
          <w:rFonts w:cs="Arial"/>
          <w:szCs w:val="24"/>
        </w:rPr>
        <w:t>range of its investment choices</w:t>
      </w:r>
      <w:r w:rsidR="00905EDA">
        <w:rPr>
          <w:rFonts w:cs="Arial"/>
          <w:szCs w:val="24"/>
        </w:rPr>
        <w:t xml:space="preserve">, or to focus efforts on specific aspects of its portfolio such as </w:t>
      </w:r>
      <w:r w:rsidR="00431DA1">
        <w:rPr>
          <w:rFonts w:cs="Arial"/>
          <w:szCs w:val="24"/>
        </w:rPr>
        <w:t xml:space="preserve">its </w:t>
      </w:r>
      <w:r w:rsidR="00905EDA">
        <w:rPr>
          <w:rFonts w:cs="Arial"/>
          <w:szCs w:val="24"/>
        </w:rPr>
        <w:t>public equity holdings and infrastructure</w:t>
      </w:r>
      <w:r w:rsidR="009C16F8">
        <w:rPr>
          <w:rFonts w:cs="Arial"/>
          <w:szCs w:val="24"/>
        </w:rPr>
        <w:t xml:space="preserve">. </w:t>
      </w:r>
    </w:p>
    <w:p w:rsidR="00905EDA" w:rsidRDefault="00905EDA" w:rsidP="007412D7">
      <w:pPr>
        <w:autoSpaceDE w:val="0"/>
        <w:autoSpaceDN w:val="0"/>
        <w:adjustRightInd w:val="0"/>
        <w:rPr>
          <w:rFonts w:cs="Arial"/>
          <w:szCs w:val="24"/>
        </w:rPr>
      </w:pPr>
    </w:p>
    <w:p w:rsidR="00B825CA" w:rsidRDefault="00E53A37" w:rsidP="007412D7">
      <w:pPr>
        <w:autoSpaceDE w:val="0"/>
        <w:autoSpaceDN w:val="0"/>
        <w:adjustRightInd w:val="0"/>
        <w:rPr>
          <w:rFonts w:cs="Arial"/>
          <w:szCs w:val="24"/>
        </w:rPr>
      </w:pPr>
      <w:r>
        <w:rPr>
          <w:rFonts w:cs="Arial"/>
          <w:szCs w:val="24"/>
        </w:rPr>
        <w:t>As a</w:t>
      </w:r>
      <w:r w:rsidR="00F265CC">
        <w:rPr>
          <w:rFonts w:cs="Arial"/>
          <w:szCs w:val="24"/>
        </w:rPr>
        <w:t>n initial</w:t>
      </w:r>
      <w:r>
        <w:rPr>
          <w:rFonts w:cs="Arial"/>
          <w:szCs w:val="24"/>
        </w:rPr>
        <w:t xml:space="preserve"> step, </w:t>
      </w:r>
      <w:r w:rsidR="00117888">
        <w:rPr>
          <w:rFonts w:cs="Arial"/>
          <w:szCs w:val="24"/>
        </w:rPr>
        <w:t xml:space="preserve">a mapping exercise </w:t>
      </w:r>
      <w:r>
        <w:rPr>
          <w:rFonts w:cs="Arial"/>
          <w:szCs w:val="24"/>
        </w:rPr>
        <w:t>is</w:t>
      </w:r>
      <w:r w:rsidR="000E117D">
        <w:rPr>
          <w:rFonts w:cs="Arial"/>
          <w:szCs w:val="24"/>
        </w:rPr>
        <w:t xml:space="preserve"> </w:t>
      </w:r>
      <w:r>
        <w:rPr>
          <w:rFonts w:cs="Arial"/>
          <w:szCs w:val="24"/>
        </w:rPr>
        <w:t xml:space="preserve">underway to capture </w:t>
      </w:r>
      <w:r w:rsidR="009C16F8">
        <w:rPr>
          <w:rFonts w:cs="Arial"/>
          <w:szCs w:val="24"/>
        </w:rPr>
        <w:t xml:space="preserve">the </w:t>
      </w:r>
      <w:r>
        <w:rPr>
          <w:rFonts w:cs="Arial"/>
          <w:szCs w:val="24"/>
        </w:rPr>
        <w:t xml:space="preserve">range of </w:t>
      </w:r>
      <w:r w:rsidR="007F189F">
        <w:rPr>
          <w:rFonts w:cs="Arial"/>
          <w:szCs w:val="24"/>
        </w:rPr>
        <w:t xml:space="preserve">personnel and processes </w:t>
      </w:r>
      <w:r w:rsidR="00431DA1">
        <w:rPr>
          <w:rFonts w:cs="Arial"/>
          <w:szCs w:val="24"/>
        </w:rPr>
        <w:t xml:space="preserve">currently </w:t>
      </w:r>
      <w:r w:rsidR="007F189F">
        <w:rPr>
          <w:rFonts w:cs="Arial"/>
          <w:szCs w:val="24"/>
        </w:rPr>
        <w:t xml:space="preserve">involved </w:t>
      </w:r>
      <w:r w:rsidR="00117888">
        <w:rPr>
          <w:rFonts w:cs="Arial"/>
          <w:szCs w:val="24"/>
        </w:rPr>
        <w:t>in identifying, analysing and selecting between potential investment options</w:t>
      </w:r>
      <w:r>
        <w:rPr>
          <w:rFonts w:cs="Arial"/>
          <w:szCs w:val="24"/>
        </w:rPr>
        <w:t xml:space="preserve"> in order to understand the ways in which ESG characteristics are already being included within </w:t>
      </w:r>
      <w:r w:rsidR="00F265CC">
        <w:rPr>
          <w:rFonts w:cs="Arial"/>
          <w:szCs w:val="24"/>
        </w:rPr>
        <w:t xml:space="preserve">selection and </w:t>
      </w:r>
      <w:r>
        <w:rPr>
          <w:rFonts w:cs="Arial"/>
          <w:szCs w:val="24"/>
        </w:rPr>
        <w:t>decision-making</w:t>
      </w:r>
      <w:r w:rsidR="000E117D">
        <w:rPr>
          <w:rFonts w:cs="Arial"/>
          <w:szCs w:val="24"/>
        </w:rPr>
        <w:t xml:space="preserve">. Based on </w:t>
      </w:r>
      <w:r w:rsidR="00B825CA">
        <w:rPr>
          <w:rFonts w:cs="Arial"/>
          <w:szCs w:val="24"/>
        </w:rPr>
        <w:t>findings</w:t>
      </w:r>
      <w:r w:rsidR="000E117D">
        <w:rPr>
          <w:rFonts w:cs="Arial"/>
          <w:szCs w:val="24"/>
        </w:rPr>
        <w:t xml:space="preserve">, it will be </w:t>
      </w:r>
      <w:r>
        <w:rPr>
          <w:rFonts w:cs="Arial"/>
          <w:szCs w:val="24"/>
        </w:rPr>
        <w:t>consider</w:t>
      </w:r>
      <w:r w:rsidR="000E117D">
        <w:rPr>
          <w:rFonts w:cs="Arial"/>
          <w:szCs w:val="24"/>
        </w:rPr>
        <w:t>ed</w:t>
      </w:r>
      <w:r>
        <w:rPr>
          <w:rFonts w:cs="Arial"/>
          <w:szCs w:val="24"/>
        </w:rPr>
        <w:t xml:space="preserve"> whether </w:t>
      </w:r>
      <w:r w:rsidR="00B825CA">
        <w:rPr>
          <w:rFonts w:cs="Arial"/>
          <w:szCs w:val="24"/>
        </w:rPr>
        <w:t xml:space="preserve">(and how) </w:t>
      </w:r>
      <w:r>
        <w:rPr>
          <w:rFonts w:cs="Arial"/>
          <w:szCs w:val="24"/>
        </w:rPr>
        <w:t xml:space="preserve">ESG </w:t>
      </w:r>
      <w:r w:rsidR="007F189F">
        <w:rPr>
          <w:rFonts w:cs="Arial"/>
          <w:szCs w:val="24"/>
        </w:rPr>
        <w:t xml:space="preserve">considerations </w:t>
      </w:r>
      <w:r>
        <w:rPr>
          <w:rFonts w:cs="Arial"/>
          <w:szCs w:val="24"/>
        </w:rPr>
        <w:t xml:space="preserve">could be </w:t>
      </w:r>
      <w:r w:rsidR="007F189F">
        <w:rPr>
          <w:rFonts w:cs="Arial"/>
          <w:szCs w:val="24"/>
        </w:rPr>
        <w:t>in</w:t>
      </w:r>
      <w:r>
        <w:rPr>
          <w:rFonts w:cs="Arial"/>
          <w:szCs w:val="24"/>
        </w:rPr>
        <w:t xml:space="preserve">tegrated </w:t>
      </w:r>
    </w:p>
    <w:p w:rsidR="00B825CA" w:rsidRPr="00B825CA" w:rsidRDefault="000E117D" w:rsidP="00B825CA">
      <w:pPr>
        <w:pStyle w:val="ListParagraph"/>
        <w:numPr>
          <w:ilvl w:val="0"/>
          <w:numId w:val="12"/>
        </w:numPr>
        <w:autoSpaceDE w:val="0"/>
        <w:autoSpaceDN w:val="0"/>
        <w:adjustRightInd w:val="0"/>
        <w:rPr>
          <w:rFonts w:cs="Arial"/>
          <w:szCs w:val="24"/>
        </w:rPr>
      </w:pPr>
      <w:r w:rsidRPr="00B825CA">
        <w:rPr>
          <w:rFonts w:cs="Arial"/>
          <w:szCs w:val="24"/>
        </w:rPr>
        <w:t>to a greater extent</w:t>
      </w:r>
      <w:r w:rsidR="0002150F">
        <w:rPr>
          <w:rFonts w:cs="Arial"/>
          <w:szCs w:val="24"/>
        </w:rPr>
        <w:t>;</w:t>
      </w:r>
    </w:p>
    <w:p w:rsidR="00B825CA" w:rsidRDefault="00E53A37" w:rsidP="007412D7">
      <w:pPr>
        <w:pStyle w:val="ListParagraph"/>
        <w:numPr>
          <w:ilvl w:val="0"/>
          <w:numId w:val="12"/>
        </w:numPr>
        <w:autoSpaceDE w:val="0"/>
        <w:autoSpaceDN w:val="0"/>
        <w:adjustRightInd w:val="0"/>
        <w:rPr>
          <w:rFonts w:cs="Arial"/>
          <w:szCs w:val="24"/>
        </w:rPr>
      </w:pPr>
      <w:r w:rsidRPr="00B825CA">
        <w:rPr>
          <w:rFonts w:cs="Arial"/>
          <w:szCs w:val="24"/>
        </w:rPr>
        <w:t>in</w:t>
      </w:r>
      <w:r w:rsidR="007F189F" w:rsidRPr="00B825CA">
        <w:rPr>
          <w:rFonts w:cs="Arial"/>
          <w:szCs w:val="24"/>
        </w:rPr>
        <w:t xml:space="preserve"> a more </w:t>
      </w:r>
      <w:r w:rsidR="000E117D" w:rsidRPr="00B825CA">
        <w:rPr>
          <w:rFonts w:cs="Arial"/>
          <w:szCs w:val="24"/>
        </w:rPr>
        <w:t xml:space="preserve">consistent and </w:t>
      </w:r>
      <w:r w:rsidR="007F189F" w:rsidRPr="00B825CA">
        <w:rPr>
          <w:rFonts w:cs="Arial"/>
          <w:szCs w:val="24"/>
        </w:rPr>
        <w:t>systematic way</w:t>
      </w:r>
      <w:r w:rsidR="00B825CA">
        <w:rPr>
          <w:rFonts w:cs="Arial"/>
          <w:szCs w:val="24"/>
        </w:rPr>
        <w:t xml:space="preserve"> going forward</w:t>
      </w:r>
      <w:r w:rsidR="0002150F">
        <w:rPr>
          <w:rFonts w:cs="Arial"/>
          <w:szCs w:val="24"/>
        </w:rPr>
        <w:t>.</w:t>
      </w:r>
    </w:p>
    <w:p w:rsidR="0002150F" w:rsidRDefault="0002150F" w:rsidP="00B825CA">
      <w:pPr>
        <w:autoSpaceDE w:val="0"/>
        <w:autoSpaceDN w:val="0"/>
        <w:adjustRightInd w:val="0"/>
        <w:rPr>
          <w:rFonts w:cs="Arial"/>
          <w:szCs w:val="24"/>
        </w:rPr>
      </w:pPr>
    </w:p>
    <w:p w:rsidR="005D3057" w:rsidRPr="00B825CA" w:rsidRDefault="00B825CA" w:rsidP="00B825CA">
      <w:pPr>
        <w:autoSpaceDE w:val="0"/>
        <w:autoSpaceDN w:val="0"/>
        <w:adjustRightInd w:val="0"/>
        <w:rPr>
          <w:rFonts w:cs="Arial"/>
          <w:szCs w:val="24"/>
        </w:rPr>
      </w:pPr>
      <w:r>
        <w:rPr>
          <w:rFonts w:cs="Arial"/>
          <w:szCs w:val="24"/>
        </w:rPr>
        <w:t>A</w:t>
      </w:r>
      <w:r w:rsidRPr="00B825CA">
        <w:rPr>
          <w:rFonts w:cs="Arial"/>
          <w:szCs w:val="24"/>
        </w:rPr>
        <w:t>ny</w:t>
      </w:r>
      <w:r w:rsidR="00431DA1" w:rsidRPr="00B825CA">
        <w:rPr>
          <w:rFonts w:cs="Arial"/>
          <w:szCs w:val="24"/>
        </w:rPr>
        <w:t xml:space="preserve"> </w:t>
      </w:r>
      <w:r w:rsidR="00875EFA">
        <w:rPr>
          <w:rFonts w:cs="Arial"/>
          <w:szCs w:val="24"/>
        </w:rPr>
        <w:t xml:space="preserve">adverse consequences, </w:t>
      </w:r>
      <w:r>
        <w:rPr>
          <w:rFonts w:cs="Arial"/>
          <w:szCs w:val="24"/>
        </w:rPr>
        <w:t xml:space="preserve">practical </w:t>
      </w:r>
      <w:r w:rsidRPr="00B825CA">
        <w:rPr>
          <w:rFonts w:cs="Arial"/>
          <w:szCs w:val="24"/>
        </w:rPr>
        <w:t xml:space="preserve">difficulties </w:t>
      </w:r>
      <w:r w:rsidR="00875EFA">
        <w:rPr>
          <w:rFonts w:cs="Arial"/>
          <w:szCs w:val="24"/>
        </w:rPr>
        <w:t xml:space="preserve">or increased costs </w:t>
      </w:r>
      <w:r w:rsidRPr="00B825CA">
        <w:rPr>
          <w:rFonts w:cs="Arial"/>
          <w:szCs w:val="24"/>
        </w:rPr>
        <w:t xml:space="preserve">associated with </w:t>
      </w:r>
      <w:r>
        <w:rPr>
          <w:rFonts w:cs="Arial"/>
          <w:szCs w:val="24"/>
        </w:rPr>
        <w:t xml:space="preserve">implementing a </w:t>
      </w:r>
      <w:r w:rsidRPr="00B825CA">
        <w:rPr>
          <w:rFonts w:cs="Arial"/>
          <w:szCs w:val="24"/>
        </w:rPr>
        <w:t xml:space="preserve">different </w:t>
      </w:r>
      <w:r w:rsidR="00431DA1" w:rsidRPr="00B825CA">
        <w:rPr>
          <w:rFonts w:cs="Arial"/>
          <w:szCs w:val="24"/>
        </w:rPr>
        <w:t>approach</w:t>
      </w:r>
      <w:r w:rsidRPr="00B825CA">
        <w:rPr>
          <w:rFonts w:cs="Arial"/>
          <w:szCs w:val="24"/>
        </w:rPr>
        <w:t xml:space="preserve"> </w:t>
      </w:r>
      <w:r>
        <w:rPr>
          <w:rFonts w:cs="Arial"/>
          <w:szCs w:val="24"/>
        </w:rPr>
        <w:t>will also</w:t>
      </w:r>
      <w:r w:rsidRPr="00B825CA">
        <w:rPr>
          <w:rFonts w:cs="Arial"/>
          <w:szCs w:val="24"/>
        </w:rPr>
        <w:t xml:space="preserve"> be</w:t>
      </w:r>
      <w:r>
        <w:rPr>
          <w:rFonts w:cs="Arial"/>
          <w:szCs w:val="24"/>
        </w:rPr>
        <w:t xml:space="preserve"> </w:t>
      </w:r>
      <w:r w:rsidRPr="00B825CA">
        <w:rPr>
          <w:rFonts w:cs="Arial"/>
          <w:szCs w:val="24"/>
        </w:rPr>
        <w:t>identified</w:t>
      </w:r>
      <w:r w:rsidR="00875EFA">
        <w:rPr>
          <w:rFonts w:cs="Arial"/>
          <w:szCs w:val="24"/>
        </w:rPr>
        <w:t xml:space="preserve"> for consideration</w:t>
      </w:r>
      <w:r w:rsidR="009C16F8" w:rsidRPr="00B825CA">
        <w:rPr>
          <w:rFonts w:cs="Arial"/>
          <w:szCs w:val="24"/>
        </w:rPr>
        <w:t>.</w:t>
      </w:r>
    </w:p>
    <w:p w:rsidR="005D3057" w:rsidRDefault="005D3057" w:rsidP="007412D7">
      <w:pPr>
        <w:autoSpaceDE w:val="0"/>
        <w:autoSpaceDN w:val="0"/>
        <w:adjustRightInd w:val="0"/>
        <w:rPr>
          <w:rFonts w:cs="Arial"/>
          <w:szCs w:val="24"/>
        </w:rPr>
      </w:pPr>
    </w:p>
    <w:p w:rsidR="00AA657C" w:rsidRPr="00EC0030" w:rsidRDefault="00E53A37" w:rsidP="00AA657C">
      <w:pPr>
        <w:autoSpaceDE w:val="0"/>
        <w:autoSpaceDN w:val="0"/>
        <w:adjustRightInd w:val="0"/>
        <w:rPr>
          <w:rFonts w:cs="Arial"/>
          <w:sz w:val="22"/>
          <w:szCs w:val="22"/>
        </w:rPr>
      </w:pPr>
      <w:r w:rsidRPr="00EC0030">
        <w:rPr>
          <w:rFonts w:cs="Arial"/>
          <w:szCs w:val="24"/>
        </w:rPr>
        <w:t xml:space="preserve">Whilst this </w:t>
      </w:r>
      <w:r w:rsidR="00F265CC">
        <w:rPr>
          <w:rFonts w:cs="Arial"/>
          <w:szCs w:val="24"/>
        </w:rPr>
        <w:t>initial</w:t>
      </w:r>
      <w:r w:rsidRPr="00EC0030">
        <w:rPr>
          <w:rFonts w:cs="Arial"/>
          <w:szCs w:val="24"/>
        </w:rPr>
        <w:t xml:space="preserve"> work is underway, t</w:t>
      </w:r>
      <w:r w:rsidR="00AA657C" w:rsidRPr="00EC0030">
        <w:rPr>
          <w:rFonts w:cs="Arial"/>
          <w:szCs w:val="24"/>
        </w:rPr>
        <w:t xml:space="preserve">he Committee will be made aware of new investments as they are committed, and where appropriate, </w:t>
      </w:r>
      <w:r w:rsidRPr="00EC0030">
        <w:rPr>
          <w:rFonts w:cs="Arial"/>
          <w:szCs w:val="24"/>
        </w:rPr>
        <w:t xml:space="preserve">it will be </w:t>
      </w:r>
      <w:r w:rsidR="00AA657C" w:rsidRPr="00EC0030">
        <w:rPr>
          <w:rFonts w:cs="Arial"/>
          <w:szCs w:val="24"/>
        </w:rPr>
        <w:t>highlight</w:t>
      </w:r>
      <w:r w:rsidRPr="00EC0030">
        <w:rPr>
          <w:rFonts w:cs="Arial"/>
          <w:szCs w:val="24"/>
        </w:rPr>
        <w:t>ed how</w:t>
      </w:r>
      <w:r w:rsidR="00AA657C" w:rsidRPr="00EC0030">
        <w:rPr>
          <w:rFonts w:cs="Arial"/>
          <w:szCs w:val="24"/>
        </w:rPr>
        <w:t xml:space="preserve"> investment return requirements are </w:t>
      </w:r>
      <w:r w:rsidRPr="00EC0030">
        <w:rPr>
          <w:rFonts w:cs="Arial"/>
          <w:szCs w:val="24"/>
        </w:rPr>
        <w:t xml:space="preserve">being </w:t>
      </w:r>
      <w:r w:rsidR="00905EDA">
        <w:rPr>
          <w:rFonts w:cs="Arial"/>
          <w:szCs w:val="24"/>
        </w:rPr>
        <w:t xml:space="preserve">complemented by ESG </w:t>
      </w:r>
      <w:r w:rsidR="00EC0030">
        <w:rPr>
          <w:rFonts w:cs="Arial"/>
          <w:szCs w:val="24"/>
        </w:rPr>
        <w:t>considerations</w:t>
      </w:r>
      <w:r w:rsidR="00AA657C" w:rsidRPr="00EC0030">
        <w:rPr>
          <w:rFonts w:cs="Arial"/>
          <w:szCs w:val="24"/>
        </w:rPr>
        <w:t>.</w:t>
      </w:r>
    </w:p>
    <w:p w:rsidR="00192A12" w:rsidRDefault="00192A12" w:rsidP="005A27AA">
      <w:pPr>
        <w:rPr>
          <w:b/>
        </w:rPr>
      </w:pPr>
    </w:p>
    <w:p w:rsidR="00DB1028" w:rsidRDefault="00DB1028" w:rsidP="005A27AA">
      <w:pPr>
        <w:rPr>
          <w:b/>
        </w:rPr>
      </w:pPr>
    </w:p>
    <w:p w:rsidR="00DB1028" w:rsidRDefault="00DB1028" w:rsidP="005A27AA">
      <w:pPr>
        <w:rPr>
          <w:b/>
        </w:rPr>
      </w:pPr>
    </w:p>
    <w:p w:rsidR="00DB1028" w:rsidRPr="00EC0030" w:rsidRDefault="00DB1028" w:rsidP="005A27AA">
      <w:pPr>
        <w:rPr>
          <w:b/>
        </w:rPr>
      </w:pPr>
    </w:p>
    <w:p w:rsidR="0016562E" w:rsidRPr="00EC0030" w:rsidRDefault="00655108" w:rsidP="005A27AA">
      <w:pPr>
        <w:rPr>
          <w:b/>
        </w:rPr>
      </w:pPr>
      <w:r w:rsidRPr="00EC0030">
        <w:rPr>
          <w:b/>
        </w:rPr>
        <w:lastRenderedPageBreak/>
        <w:t>Other developments</w:t>
      </w:r>
    </w:p>
    <w:p w:rsidR="0016562E" w:rsidRPr="00EC0030" w:rsidRDefault="0016562E" w:rsidP="005A27AA"/>
    <w:p w:rsidR="005A27AA" w:rsidRPr="00EC0030" w:rsidRDefault="00F265CC" w:rsidP="005A27AA">
      <w:pPr>
        <w:rPr>
          <w:i/>
        </w:rPr>
      </w:pPr>
      <w:r>
        <w:rPr>
          <w:i/>
        </w:rPr>
        <w:t>Members Working Group on RI: Action P</w:t>
      </w:r>
      <w:r w:rsidR="00B27084" w:rsidRPr="00EC0030">
        <w:rPr>
          <w:i/>
        </w:rPr>
        <w:t>lan</w:t>
      </w:r>
    </w:p>
    <w:p w:rsidR="005A27AA" w:rsidRPr="00EC0030" w:rsidRDefault="005A27AA" w:rsidP="005A27AA"/>
    <w:p w:rsidR="00236CF1" w:rsidRDefault="00B27084" w:rsidP="005A27AA">
      <w:r w:rsidRPr="00EC0030">
        <w:t>A</w:t>
      </w:r>
      <w:r w:rsidR="00E53A37" w:rsidRPr="00EC0030">
        <w:t xml:space="preserve">n updated version of the action plan </w:t>
      </w:r>
      <w:r w:rsidR="00F265CC">
        <w:t>reflecting</w:t>
      </w:r>
      <w:r w:rsidR="00EC0030" w:rsidRPr="00EC0030">
        <w:t xml:space="preserve"> </w:t>
      </w:r>
      <w:r w:rsidR="00905EDA">
        <w:t xml:space="preserve">the </w:t>
      </w:r>
      <w:r w:rsidR="00EC0030" w:rsidRPr="00EC0030">
        <w:t xml:space="preserve">work </w:t>
      </w:r>
      <w:r w:rsidR="00905EDA">
        <w:t>of</w:t>
      </w:r>
      <w:r w:rsidR="00EC0030" w:rsidRPr="00EC0030">
        <w:t xml:space="preserve"> the Member Working G</w:t>
      </w:r>
      <w:r w:rsidRPr="00EC0030">
        <w:t>roup</w:t>
      </w:r>
      <w:r w:rsidR="00E53A37" w:rsidRPr="00EC0030">
        <w:t xml:space="preserve"> on </w:t>
      </w:r>
      <w:r w:rsidR="00F265CC">
        <w:t>RI</w:t>
      </w:r>
      <w:r w:rsidR="00E53A37" w:rsidRPr="00EC0030">
        <w:t xml:space="preserve"> is set out below. The action plan provides further details on </w:t>
      </w:r>
      <w:r w:rsidR="00EC0030" w:rsidRPr="00EC0030">
        <w:t xml:space="preserve">progress </w:t>
      </w:r>
      <w:r w:rsidR="00F265CC">
        <w:t xml:space="preserve">made </w:t>
      </w:r>
      <w:r w:rsidR="00EC0030" w:rsidRPr="00EC0030">
        <w:t>against each action</w:t>
      </w:r>
      <w:r w:rsidR="00E53A37" w:rsidRPr="00EC0030">
        <w:t xml:space="preserve"> and </w:t>
      </w:r>
      <w:r w:rsidR="00EC0030" w:rsidRPr="00EC0030">
        <w:t xml:space="preserve">identifies </w:t>
      </w:r>
      <w:r w:rsidR="00E53A37" w:rsidRPr="00EC0030">
        <w:t>whether they have been concl</w:t>
      </w:r>
      <w:r w:rsidR="00905EDA">
        <w:t xml:space="preserve">uded, are underway currently, </w:t>
      </w:r>
      <w:r w:rsidR="00E53A37" w:rsidRPr="00EC0030">
        <w:t xml:space="preserve">are </w:t>
      </w:r>
      <w:r w:rsidR="00905EDA">
        <w:t>in planning or are</w:t>
      </w:r>
      <w:r w:rsidR="00EC0030" w:rsidRPr="00EC0030">
        <w:t xml:space="preserve"> on hold pending related </w:t>
      </w:r>
      <w:r w:rsidR="00E53A37" w:rsidRPr="00EC0030">
        <w:t>d</w:t>
      </w:r>
      <w:r w:rsidRPr="00EC0030">
        <w:t>evelopments</w:t>
      </w:r>
      <w:r w:rsidR="00EC0030" w:rsidRPr="00EC0030">
        <w:t>.</w:t>
      </w:r>
      <w:r w:rsidRPr="00EC0030">
        <w:t xml:space="preserve"> </w:t>
      </w:r>
    </w:p>
    <w:p w:rsidR="00236CF1" w:rsidRDefault="00236CF1">
      <w:pPr>
        <w:sectPr w:rsidR="00236CF1" w:rsidSect="00DB1028">
          <w:footerReference w:type="default" r:id="rId8"/>
          <w:footerReference w:type="first" r:id="rId9"/>
          <w:pgSz w:w="11907" w:h="16840" w:code="9"/>
          <w:pgMar w:top="1276" w:right="1275" w:bottom="1135" w:left="1418" w:header="720" w:footer="157" w:gutter="0"/>
          <w:paperSrc w:first="7" w:other="7"/>
          <w:cols w:space="720"/>
          <w:titlePg/>
          <w:docGrid w:linePitch="326"/>
        </w:sectPr>
      </w:pPr>
    </w:p>
    <w:p w:rsidR="0054656F" w:rsidRDefault="0054656F">
      <w:pPr>
        <w:rPr>
          <w:b/>
          <w:u w:val="single"/>
        </w:rPr>
      </w:pPr>
    </w:p>
    <w:p w:rsidR="0054656F" w:rsidRPr="0054656F" w:rsidRDefault="0054656F">
      <w:pPr>
        <w:rPr>
          <w:b/>
          <w:u w:val="single"/>
        </w:rPr>
      </w:pPr>
      <w:r w:rsidRPr="0054656F">
        <w:rPr>
          <w:b/>
          <w:u w:val="single"/>
        </w:rPr>
        <w:t>RI Action Plan</w:t>
      </w:r>
    </w:p>
    <w:p w:rsidR="0054656F" w:rsidRDefault="0054656F"/>
    <w:tbl>
      <w:tblPr>
        <w:tblStyle w:val="TableGrid"/>
        <w:tblW w:w="0" w:type="auto"/>
        <w:tblLook w:val="04A0" w:firstRow="1" w:lastRow="0" w:firstColumn="1" w:lastColumn="0" w:noHBand="0" w:noVBand="1"/>
      </w:tblPr>
      <w:tblGrid>
        <w:gridCol w:w="2293"/>
        <w:gridCol w:w="3459"/>
        <w:gridCol w:w="5696"/>
        <w:gridCol w:w="2500"/>
      </w:tblGrid>
      <w:tr w:rsidR="0054656F" w:rsidRPr="0054656F" w:rsidTr="0054656F">
        <w:trPr>
          <w:trHeight w:val="841"/>
        </w:trPr>
        <w:tc>
          <w:tcPr>
            <w:tcW w:w="2293" w:type="dxa"/>
            <w:hideMark/>
          </w:tcPr>
          <w:p w:rsidR="0054656F" w:rsidRPr="0054656F" w:rsidRDefault="0054656F" w:rsidP="0054656F">
            <w:pPr>
              <w:rPr>
                <w:b/>
                <w:bCs/>
                <w:szCs w:val="24"/>
              </w:rPr>
            </w:pPr>
            <w:r w:rsidRPr="0054656F">
              <w:rPr>
                <w:b/>
                <w:bCs/>
                <w:szCs w:val="24"/>
              </w:rPr>
              <w:t>Area</w:t>
            </w:r>
          </w:p>
        </w:tc>
        <w:tc>
          <w:tcPr>
            <w:tcW w:w="3459" w:type="dxa"/>
            <w:hideMark/>
          </w:tcPr>
          <w:p w:rsidR="0054656F" w:rsidRPr="0054656F" w:rsidRDefault="0054656F" w:rsidP="0054656F">
            <w:pPr>
              <w:rPr>
                <w:b/>
                <w:bCs/>
                <w:szCs w:val="24"/>
              </w:rPr>
            </w:pPr>
            <w:r w:rsidRPr="0054656F">
              <w:rPr>
                <w:b/>
                <w:bCs/>
                <w:szCs w:val="24"/>
              </w:rPr>
              <w:t>Action</w:t>
            </w:r>
          </w:p>
        </w:tc>
        <w:tc>
          <w:tcPr>
            <w:tcW w:w="5696" w:type="dxa"/>
            <w:hideMark/>
          </w:tcPr>
          <w:p w:rsidR="0054656F" w:rsidRPr="0054656F" w:rsidRDefault="0054656F" w:rsidP="0054656F">
            <w:pPr>
              <w:rPr>
                <w:b/>
                <w:bCs/>
                <w:szCs w:val="24"/>
              </w:rPr>
            </w:pPr>
            <w:r w:rsidRPr="0054656F">
              <w:rPr>
                <w:b/>
                <w:bCs/>
                <w:szCs w:val="24"/>
              </w:rPr>
              <w:t>Update on actions taken since previous Pension Fund Committee meeting and in planning currently</w:t>
            </w:r>
          </w:p>
        </w:tc>
        <w:tc>
          <w:tcPr>
            <w:tcW w:w="2500" w:type="dxa"/>
            <w:noWrap/>
            <w:hideMark/>
          </w:tcPr>
          <w:p w:rsidR="0054656F" w:rsidRPr="0054656F" w:rsidRDefault="0054656F" w:rsidP="0054656F">
            <w:pPr>
              <w:rPr>
                <w:b/>
                <w:bCs/>
                <w:szCs w:val="24"/>
              </w:rPr>
            </w:pPr>
            <w:r w:rsidRPr="0054656F">
              <w:rPr>
                <w:b/>
                <w:bCs/>
                <w:szCs w:val="24"/>
              </w:rPr>
              <w:t>Status</w:t>
            </w:r>
          </w:p>
        </w:tc>
      </w:tr>
      <w:tr w:rsidR="0054656F" w:rsidRPr="0054656F" w:rsidTr="0054656F">
        <w:trPr>
          <w:trHeight w:val="315"/>
        </w:trPr>
        <w:tc>
          <w:tcPr>
            <w:tcW w:w="13948" w:type="dxa"/>
            <w:gridSpan w:val="4"/>
            <w:hideMark/>
          </w:tcPr>
          <w:p w:rsidR="0054656F" w:rsidRPr="0054656F" w:rsidRDefault="0054656F" w:rsidP="0054656F">
            <w:pPr>
              <w:rPr>
                <w:b/>
                <w:bCs/>
                <w:szCs w:val="24"/>
              </w:rPr>
            </w:pPr>
            <w:r w:rsidRPr="0054656F">
              <w:rPr>
                <w:b/>
                <w:bCs/>
                <w:szCs w:val="24"/>
              </w:rPr>
              <w:t>Fiduciary Duty</w:t>
            </w:r>
          </w:p>
        </w:tc>
      </w:tr>
      <w:tr w:rsidR="0054656F" w:rsidRPr="0054656F" w:rsidTr="0054656F">
        <w:trPr>
          <w:trHeight w:val="300"/>
        </w:trPr>
        <w:tc>
          <w:tcPr>
            <w:tcW w:w="13948" w:type="dxa"/>
            <w:gridSpan w:val="4"/>
            <w:hideMark/>
          </w:tcPr>
          <w:p w:rsidR="0054656F" w:rsidRPr="0054656F" w:rsidRDefault="0054656F" w:rsidP="0054656F">
            <w:pPr>
              <w:rPr>
                <w:szCs w:val="24"/>
              </w:rPr>
            </w:pPr>
            <w:r w:rsidRPr="0054656F">
              <w:rPr>
                <w:szCs w:val="24"/>
              </w:rPr>
              <w:t>Outcome 1</w:t>
            </w:r>
          </w:p>
        </w:tc>
      </w:tr>
      <w:tr w:rsidR="0054656F" w:rsidRPr="0054656F" w:rsidTr="0054656F">
        <w:trPr>
          <w:trHeight w:val="1478"/>
        </w:trPr>
        <w:tc>
          <w:tcPr>
            <w:tcW w:w="13948" w:type="dxa"/>
            <w:gridSpan w:val="4"/>
            <w:hideMark/>
          </w:tcPr>
          <w:p w:rsidR="0054656F" w:rsidRPr="0054656F" w:rsidRDefault="0054656F" w:rsidP="0054656F">
            <w:pPr>
              <w:rPr>
                <w:szCs w:val="24"/>
              </w:rPr>
            </w:pPr>
            <w:r w:rsidRPr="0054656F">
              <w:rPr>
                <w:szCs w:val="24"/>
              </w:rPr>
              <w:t>Having considered all the information presented to its meetings, the Working Group agreed that it would wish to recommend the Pension Fund Committee to consider a more active stance in relation to RI issues than had previously been the case where that did not pose the risk of financial detriment to the Fund.  Members acknowledged that the primary aim of an investment strategy was to secure the best possible return and that the administering authority and trustees should not impose their own ethical views on issues such as tobacco, energy, food etc., on scheme beneficiaries.</w:t>
            </w:r>
          </w:p>
        </w:tc>
      </w:tr>
      <w:tr w:rsidR="0054656F" w:rsidRPr="0054656F" w:rsidTr="0054656F">
        <w:trPr>
          <w:trHeight w:val="1965"/>
        </w:trPr>
        <w:tc>
          <w:tcPr>
            <w:tcW w:w="2293" w:type="dxa"/>
            <w:hideMark/>
          </w:tcPr>
          <w:p w:rsidR="0054656F" w:rsidRPr="0054656F" w:rsidRDefault="0054656F" w:rsidP="0054656F">
            <w:pPr>
              <w:rPr>
                <w:szCs w:val="24"/>
              </w:rPr>
            </w:pPr>
            <w:r w:rsidRPr="0054656F">
              <w:rPr>
                <w:szCs w:val="24"/>
              </w:rPr>
              <w:t>Action 1</w:t>
            </w:r>
          </w:p>
        </w:tc>
        <w:tc>
          <w:tcPr>
            <w:tcW w:w="3459" w:type="dxa"/>
            <w:hideMark/>
          </w:tcPr>
          <w:p w:rsidR="0054656F" w:rsidRPr="0054656F" w:rsidRDefault="0054656F" w:rsidP="0054656F">
            <w:pPr>
              <w:rPr>
                <w:szCs w:val="24"/>
              </w:rPr>
            </w:pPr>
            <w:r w:rsidRPr="0054656F">
              <w:rPr>
                <w:szCs w:val="24"/>
              </w:rPr>
              <w:t>Recommendation to Pension Fund Committee to consider a move towards RI where it was practicable to do so, and without posing a detrimental financial risk to the Fund.</w:t>
            </w:r>
          </w:p>
        </w:tc>
        <w:tc>
          <w:tcPr>
            <w:tcW w:w="5696" w:type="dxa"/>
            <w:hideMark/>
          </w:tcPr>
          <w:p w:rsidR="0054656F" w:rsidRPr="0054656F" w:rsidRDefault="0054656F" w:rsidP="0054656F">
            <w:pPr>
              <w:rPr>
                <w:i/>
                <w:iCs/>
                <w:szCs w:val="24"/>
              </w:rPr>
            </w:pPr>
            <w:r w:rsidRPr="0054656F">
              <w:rPr>
                <w:i/>
                <w:iCs/>
                <w:szCs w:val="24"/>
              </w:rPr>
              <w:t>Implicitly accepted by the Pension Fund Committee on 27 November 2014 in accepting the recommendations of the member working group. Recognition of this stance will be reflected in the Fund's first Responsible Investment policy document, currently being developed.</w:t>
            </w:r>
          </w:p>
        </w:tc>
        <w:tc>
          <w:tcPr>
            <w:tcW w:w="2500" w:type="dxa"/>
            <w:noWrap/>
            <w:hideMark/>
          </w:tcPr>
          <w:p w:rsidR="0054656F" w:rsidRPr="0054656F" w:rsidRDefault="0054656F" w:rsidP="0054656F">
            <w:pPr>
              <w:rPr>
                <w:szCs w:val="24"/>
              </w:rPr>
            </w:pPr>
            <w:r w:rsidRPr="0054656F">
              <w:rPr>
                <w:szCs w:val="24"/>
              </w:rPr>
              <w:t>Concluded</w:t>
            </w:r>
          </w:p>
        </w:tc>
      </w:tr>
      <w:tr w:rsidR="0054656F" w:rsidRPr="0054656F" w:rsidTr="0054656F">
        <w:trPr>
          <w:trHeight w:val="300"/>
        </w:trPr>
        <w:tc>
          <w:tcPr>
            <w:tcW w:w="13948" w:type="dxa"/>
            <w:gridSpan w:val="4"/>
            <w:hideMark/>
          </w:tcPr>
          <w:p w:rsidR="0054656F" w:rsidRPr="0054656F" w:rsidRDefault="0054656F" w:rsidP="0054656F">
            <w:pPr>
              <w:rPr>
                <w:szCs w:val="24"/>
              </w:rPr>
            </w:pPr>
            <w:r w:rsidRPr="0054656F">
              <w:rPr>
                <w:szCs w:val="24"/>
              </w:rPr>
              <w:t>Outcome 2</w:t>
            </w:r>
          </w:p>
        </w:tc>
      </w:tr>
      <w:tr w:rsidR="0054656F" w:rsidRPr="0054656F" w:rsidTr="0054656F">
        <w:trPr>
          <w:trHeight w:val="1110"/>
        </w:trPr>
        <w:tc>
          <w:tcPr>
            <w:tcW w:w="13948" w:type="dxa"/>
            <w:gridSpan w:val="4"/>
            <w:hideMark/>
          </w:tcPr>
          <w:p w:rsidR="0054656F" w:rsidRPr="0054656F" w:rsidRDefault="0054656F" w:rsidP="0054656F">
            <w:pPr>
              <w:rPr>
                <w:szCs w:val="24"/>
              </w:rPr>
            </w:pPr>
            <w:r w:rsidRPr="0054656F">
              <w:rPr>
                <w:szCs w:val="24"/>
              </w:rPr>
              <w:t>Concerns were expressed about the Fund's ability to canvass and assess the views of scheme employers and members on specific social, ethical and environmental considerations and investments. Before taking any specific steps that could potentially lead to the investment in or disinvestment from particular sectors, Members acknowledged that it was important to canvass and understand the views of scheme stakeholders, and agreed that different ways of achieving this needed to be explored.</w:t>
            </w:r>
          </w:p>
          <w:p w:rsidR="0054656F" w:rsidRPr="0054656F" w:rsidRDefault="0054656F" w:rsidP="0054656F">
            <w:pPr>
              <w:rPr>
                <w:szCs w:val="24"/>
              </w:rPr>
            </w:pPr>
          </w:p>
        </w:tc>
      </w:tr>
    </w:tbl>
    <w:p w:rsidR="0054656F" w:rsidRDefault="0054656F"/>
    <w:p w:rsidR="0054656F" w:rsidRDefault="0054656F"/>
    <w:p w:rsidR="0054656F" w:rsidRDefault="0054656F"/>
    <w:p w:rsidR="0054656F" w:rsidRDefault="0054656F"/>
    <w:p w:rsidR="0054656F" w:rsidRDefault="0054656F"/>
    <w:p w:rsidR="00236CF1" w:rsidRDefault="00236CF1">
      <w:r>
        <w:br w:type="page"/>
      </w:r>
    </w:p>
    <w:p w:rsidR="009F4AE7" w:rsidRDefault="009F4AE7" w:rsidP="005A27AA"/>
    <w:tbl>
      <w:tblPr>
        <w:tblStyle w:val="TableGrid"/>
        <w:tblW w:w="0" w:type="auto"/>
        <w:tblLook w:val="04A0" w:firstRow="1" w:lastRow="0" w:firstColumn="1" w:lastColumn="0" w:noHBand="0" w:noVBand="1"/>
      </w:tblPr>
      <w:tblGrid>
        <w:gridCol w:w="2293"/>
        <w:gridCol w:w="3459"/>
        <w:gridCol w:w="5696"/>
        <w:gridCol w:w="2500"/>
      </w:tblGrid>
      <w:tr w:rsidR="0054656F" w:rsidRPr="0054656F" w:rsidTr="0054656F">
        <w:trPr>
          <w:trHeight w:val="841"/>
        </w:trPr>
        <w:tc>
          <w:tcPr>
            <w:tcW w:w="2293" w:type="dxa"/>
            <w:hideMark/>
          </w:tcPr>
          <w:p w:rsidR="0054656F" w:rsidRPr="0054656F" w:rsidRDefault="0054656F" w:rsidP="0054656F">
            <w:pPr>
              <w:rPr>
                <w:b/>
                <w:bCs/>
                <w:szCs w:val="24"/>
              </w:rPr>
            </w:pPr>
            <w:r w:rsidRPr="0054656F">
              <w:rPr>
                <w:b/>
                <w:bCs/>
                <w:szCs w:val="24"/>
              </w:rPr>
              <w:t>Area</w:t>
            </w:r>
          </w:p>
        </w:tc>
        <w:tc>
          <w:tcPr>
            <w:tcW w:w="3459" w:type="dxa"/>
            <w:hideMark/>
          </w:tcPr>
          <w:p w:rsidR="0054656F" w:rsidRPr="0054656F" w:rsidRDefault="0054656F" w:rsidP="0054656F">
            <w:pPr>
              <w:rPr>
                <w:b/>
                <w:bCs/>
                <w:szCs w:val="24"/>
              </w:rPr>
            </w:pPr>
            <w:r w:rsidRPr="0054656F">
              <w:rPr>
                <w:b/>
                <w:bCs/>
                <w:szCs w:val="24"/>
              </w:rPr>
              <w:t>Action</w:t>
            </w:r>
          </w:p>
        </w:tc>
        <w:tc>
          <w:tcPr>
            <w:tcW w:w="5696" w:type="dxa"/>
            <w:hideMark/>
          </w:tcPr>
          <w:p w:rsidR="0054656F" w:rsidRPr="0054656F" w:rsidRDefault="0054656F" w:rsidP="0054656F">
            <w:pPr>
              <w:rPr>
                <w:b/>
                <w:bCs/>
                <w:szCs w:val="24"/>
              </w:rPr>
            </w:pPr>
            <w:r w:rsidRPr="0054656F">
              <w:rPr>
                <w:b/>
                <w:bCs/>
                <w:szCs w:val="24"/>
              </w:rPr>
              <w:t>Update on actions taken since previous Pension Fund Committee meeting and in planning currently</w:t>
            </w:r>
          </w:p>
        </w:tc>
        <w:tc>
          <w:tcPr>
            <w:tcW w:w="2500" w:type="dxa"/>
            <w:noWrap/>
            <w:hideMark/>
          </w:tcPr>
          <w:p w:rsidR="0054656F" w:rsidRPr="0054656F" w:rsidRDefault="0054656F" w:rsidP="0054656F">
            <w:pPr>
              <w:rPr>
                <w:b/>
                <w:bCs/>
                <w:szCs w:val="24"/>
              </w:rPr>
            </w:pPr>
            <w:r w:rsidRPr="0054656F">
              <w:rPr>
                <w:b/>
                <w:bCs/>
                <w:szCs w:val="24"/>
              </w:rPr>
              <w:t>Status</w:t>
            </w:r>
          </w:p>
        </w:tc>
      </w:tr>
      <w:tr w:rsidR="0054656F" w:rsidRPr="0054656F" w:rsidTr="0054656F">
        <w:trPr>
          <w:trHeight w:val="3060"/>
        </w:trPr>
        <w:tc>
          <w:tcPr>
            <w:tcW w:w="2293" w:type="dxa"/>
            <w:hideMark/>
          </w:tcPr>
          <w:p w:rsidR="0054656F" w:rsidRPr="0054656F" w:rsidRDefault="0054656F" w:rsidP="0054656F">
            <w:pPr>
              <w:rPr>
                <w:szCs w:val="24"/>
              </w:rPr>
            </w:pPr>
            <w:r w:rsidRPr="0054656F">
              <w:rPr>
                <w:szCs w:val="24"/>
              </w:rPr>
              <w:t>Action 2</w:t>
            </w:r>
          </w:p>
        </w:tc>
        <w:tc>
          <w:tcPr>
            <w:tcW w:w="3459" w:type="dxa"/>
            <w:hideMark/>
          </w:tcPr>
          <w:p w:rsidR="0054656F" w:rsidRPr="0054656F" w:rsidRDefault="0054656F" w:rsidP="0054656F">
            <w:pPr>
              <w:rPr>
                <w:szCs w:val="24"/>
              </w:rPr>
            </w:pPr>
            <w:r w:rsidRPr="0054656F">
              <w:rPr>
                <w:szCs w:val="24"/>
              </w:rPr>
              <w:t>A policy setting out the circumstances in which stakeholder consultation would be sought and the possible methods for achieving this should be developed.</w:t>
            </w:r>
          </w:p>
        </w:tc>
        <w:tc>
          <w:tcPr>
            <w:tcW w:w="5696" w:type="dxa"/>
            <w:hideMark/>
          </w:tcPr>
          <w:p w:rsidR="0054656F" w:rsidRPr="0054656F" w:rsidRDefault="0054656F" w:rsidP="0054656F">
            <w:pPr>
              <w:rPr>
                <w:i/>
                <w:iCs/>
                <w:szCs w:val="24"/>
              </w:rPr>
            </w:pPr>
            <w:r w:rsidRPr="0054656F">
              <w:rPr>
                <w:i/>
                <w:iCs/>
                <w:szCs w:val="24"/>
              </w:rPr>
              <w:t>The recruitment of a Financial Policy Officer has brought the additional capacity needed to facilitate the further development of an RI policy for the Fund.</w:t>
            </w:r>
            <w:r w:rsidRPr="0054656F">
              <w:rPr>
                <w:i/>
                <w:iCs/>
                <w:szCs w:val="24"/>
              </w:rPr>
              <w:br/>
              <w:t>The RI policy will set out the aspirations of the fund in relation to any use of any positive or negative filters in either the identification of future investment options or the consideration of divestment. Any filter which is not clearly and directly aligned with the Fund's primary fiduciary objective of maximising financial returns from investment will be subject to stakeholder consultation.</w:t>
            </w:r>
            <w:r w:rsidRPr="0054656F">
              <w:rPr>
                <w:i/>
                <w:iCs/>
                <w:szCs w:val="24"/>
              </w:rPr>
              <w:br/>
              <w:t>An approach to stakeholder consultation and possible methods for undertaking it will be addressed as part of the work under action 5a below.</w:t>
            </w:r>
          </w:p>
        </w:tc>
        <w:tc>
          <w:tcPr>
            <w:tcW w:w="2500" w:type="dxa"/>
            <w:hideMark/>
          </w:tcPr>
          <w:p w:rsidR="0054656F" w:rsidRPr="0054656F" w:rsidRDefault="0054656F" w:rsidP="0054656F">
            <w:pPr>
              <w:rPr>
                <w:szCs w:val="24"/>
              </w:rPr>
            </w:pPr>
            <w:r w:rsidRPr="0054656F">
              <w:rPr>
                <w:szCs w:val="24"/>
              </w:rPr>
              <w:t>Under planning as part of action 5a</w:t>
            </w:r>
          </w:p>
        </w:tc>
      </w:tr>
      <w:tr w:rsidR="0054656F" w:rsidRPr="0054656F" w:rsidTr="0054656F">
        <w:trPr>
          <w:trHeight w:val="300"/>
        </w:trPr>
        <w:tc>
          <w:tcPr>
            <w:tcW w:w="13948" w:type="dxa"/>
            <w:gridSpan w:val="4"/>
            <w:hideMark/>
          </w:tcPr>
          <w:p w:rsidR="0054656F" w:rsidRPr="0054656F" w:rsidRDefault="0054656F" w:rsidP="0054656F">
            <w:pPr>
              <w:rPr>
                <w:szCs w:val="24"/>
              </w:rPr>
            </w:pPr>
            <w:r w:rsidRPr="0054656F">
              <w:rPr>
                <w:szCs w:val="24"/>
              </w:rPr>
              <w:t>Outcome 3</w:t>
            </w:r>
          </w:p>
        </w:tc>
      </w:tr>
      <w:tr w:rsidR="0054656F" w:rsidRPr="0054656F" w:rsidTr="008969CA">
        <w:trPr>
          <w:trHeight w:val="1215"/>
        </w:trPr>
        <w:tc>
          <w:tcPr>
            <w:tcW w:w="13948" w:type="dxa"/>
            <w:gridSpan w:val="4"/>
            <w:tcBorders>
              <w:bottom w:val="single" w:sz="4" w:space="0" w:color="auto"/>
            </w:tcBorders>
            <w:hideMark/>
          </w:tcPr>
          <w:p w:rsidR="0054656F" w:rsidRPr="0054656F" w:rsidRDefault="0054656F" w:rsidP="0054656F">
            <w:pPr>
              <w:rPr>
                <w:szCs w:val="24"/>
              </w:rPr>
            </w:pPr>
            <w:r w:rsidRPr="0054656F">
              <w:rPr>
                <w:szCs w:val="24"/>
              </w:rPr>
              <w:t>The Working Group felt that it now had a much greater understanding of RI, SRI and ESG issues and in particular the legal framework around fiduciary duties and the issue of disinvestment.  Members again acknowledged that the primary aim of the Fund's investment strategy was to secure the best possible return and it was agreed that disinvestment was not an option which should be pursued by the Fund at this moment.</w:t>
            </w:r>
          </w:p>
        </w:tc>
      </w:tr>
      <w:tr w:rsidR="0054656F" w:rsidRPr="0054656F" w:rsidTr="008969CA">
        <w:trPr>
          <w:trHeight w:val="315"/>
        </w:trPr>
        <w:tc>
          <w:tcPr>
            <w:tcW w:w="2293" w:type="dxa"/>
            <w:tcBorders>
              <w:bottom w:val="single" w:sz="4" w:space="0" w:color="auto"/>
            </w:tcBorders>
            <w:shd w:val="clear" w:color="auto" w:fill="auto"/>
            <w:hideMark/>
          </w:tcPr>
          <w:p w:rsidR="0054656F" w:rsidRPr="0054656F" w:rsidRDefault="0054656F" w:rsidP="0054656F">
            <w:pPr>
              <w:rPr>
                <w:szCs w:val="24"/>
              </w:rPr>
            </w:pPr>
            <w:r w:rsidRPr="0054656F">
              <w:rPr>
                <w:szCs w:val="24"/>
              </w:rPr>
              <w:t>Action 3</w:t>
            </w:r>
          </w:p>
        </w:tc>
        <w:tc>
          <w:tcPr>
            <w:tcW w:w="9155" w:type="dxa"/>
            <w:gridSpan w:val="2"/>
            <w:tcBorders>
              <w:bottom w:val="single" w:sz="4" w:space="0" w:color="auto"/>
            </w:tcBorders>
            <w:shd w:val="clear" w:color="auto" w:fill="auto"/>
            <w:hideMark/>
          </w:tcPr>
          <w:p w:rsidR="0054656F" w:rsidRPr="0054656F" w:rsidRDefault="0054656F" w:rsidP="0054656F">
            <w:pPr>
              <w:rPr>
                <w:szCs w:val="24"/>
              </w:rPr>
            </w:pPr>
            <w:r w:rsidRPr="0054656F">
              <w:rPr>
                <w:szCs w:val="24"/>
              </w:rPr>
              <w:t>No action required.</w:t>
            </w:r>
          </w:p>
        </w:tc>
        <w:tc>
          <w:tcPr>
            <w:tcW w:w="2500" w:type="dxa"/>
            <w:tcBorders>
              <w:bottom w:val="single" w:sz="4" w:space="0" w:color="auto"/>
            </w:tcBorders>
            <w:shd w:val="clear" w:color="auto" w:fill="auto"/>
            <w:hideMark/>
          </w:tcPr>
          <w:p w:rsidR="0054656F" w:rsidRPr="0054656F" w:rsidRDefault="0054656F" w:rsidP="0054656F">
            <w:pPr>
              <w:rPr>
                <w:szCs w:val="24"/>
              </w:rPr>
            </w:pPr>
            <w:r w:rsidRPr="0054656F">
              <w:rPr>
                <w:szCs w:val="24"/>
              </w:rPr>
              <w:t>Concluded</w:t>
            </w:r>
          </w:p>
        </w:tc>
      </w:tr>
      <w:tr w:rsidR="0054656F" w:rsidRPr="0054656F" w:rsidTr="008969CA">
        <w:trPr>
          <w:trHeight w:val="315"/>
        </w:trPr>
        <w:tc>
          <w:tcPr>
            <w:tcW w:w="2293" w:type="dxa"/>
            <w:tcBorders>
              <w:top w:val="single" w:sz="4" w:space="0" w:color="auto"/>
              <w:left w:val="nil"/>
              <w:bottom w:val="nil"/>
              <w:right w:val="nil"/>
            </w:tcBorders>
            <w:shd w:val="clear" w:color="auto" w:fill="auto"/>
          </w:tcPr>
          <w:p w:rsidR="0054656F" w:rsidRDefault="0054656F" w:rsidP="0054656F">
            <w:pPr>
              <w:rPr>
                <w:szCs w:val="24"/>
              </w:rPr>
            </w:pPr>
          </w:p>
          <w:p w:rsidR="0054656F" w:rsidRDefault="0054656F" w:rsidP="0054656F">
            <w:pPr>
              <w:rPr>
                <w:szCs w:val="24"/>
              </w:rPr>
            </w:pPr>
          </w:p>
          <w:p w:rsidR="0054656F" w:rsidRDefault="0054656F" w:rsidP="0054656F">
            <w:pPr>
              <w:rPr>
                <w:szCs w:val="24"/>
              </w:rPr>
            </w:pPr>
          </w:p>
          <w:p w:rsidR="0054656F" w:rsidRDefault="0054656F" w:rsidP="0054656F">
            <w:pPr>
              <w:rPr>
                <w:szCs w:val="24"/>
              </w:rPr>
            </w:pPr>
          </w:p>
          <w:p w:rsidR="0054656F" w:rsidRDefault="0054656F" w:rsidP="0054656F">
            <w:pPr>
              <w:rPr>
                <w:szCs w:val="24"/>
              </w:rPr>
            </w:pPr>
          </w:p>
          <w:p w:rsidR="0054656F" w:rsidRDefault="0054656F" w:rsidP="0054656F">
            <w:pPr>
              <w:rPr>
                <w:szCs w:val="24"/>
              </w:rPr>
            </w:pPr>
          </w:p>
          <w:p w:rsidR="0054656F" w:rsidRDefault="0054656F" w:rsidP="0054656F">
            <w:pPr>
              <w:rPr>
                <w:szCs w:val="24"/>
              </w:rPr>
            </w:pPr>
          </w:p>
          <w:p w:rsidR="0054656F" w:rsidRDefault="0054656F" w:rsidP="0054656F">
            <w:pPr>
              <w:rPr>
                <w:szCs w:val="24"/>
              </w:rPr>
            </w:pPr>
          </w:p>
          <w:p w:rsidR="0054656F" w:rsidRDefault="0054656F" w:rsidP="0054656F">
            <w:pPr>
              <w:rPr>
                <w:szCs w:val="24"/>
              </w:rPr>
            </w:pPr>
          </w:p>
          <w:p w:rsidR="0054656F" w:rsidRPr="0054656F" w:rsidRDefault="0054656F" w:rsidP="0054656F">
            <w:pPr>
              <w:rPr>
                <w:szCs w:val="24"/>
              </w:rPr>
            </w:pPr>
          </w:p>
        </w:tc>
        <w:tc>
          <w:tcPr>
            <w:tcW w:w="9155" w:type="dxa"/>
            <w:gridSpan w:val="2"/>
            <w:tcBorders>
              <w:top w:val="single" w:sz="4" w:space="0" w:color="auto"/>
              <w:left w:val="nil"/>
              <w:bottom w:val="nil"/>
              <w:right w:val="nil"/>
            </w:tcBorders>
            <w:shd w:val="clear" w:color="auto" w:fill="auto"/>
          </w:tcPr>
          <w:p w:rsidR="0054656F" w:rsidRPr="0054656F" w:rsidRDefault="0054656F" w:rsidP="0054656F">
            <w:pPr>
              <w:rPr>
                <w:szCs w:val="24"/>
              </w:rPr>
            </w:pPr>
          </w:p>
        </w:tc>
        <w:tc>
          <w:tcPr>
            <w:tcW w:w="2500" w:type="dxa"/>
            <w:tcBorders>
              <w:top w:val="single" w:sz="4" w:space="0" w:color="auto"/>
              <w:left w:val="nil"/>
              <w:bottom w:val="nil"/>
              <w:right w:val="nil"/>
            </w:tcBorders>
            <w:shd w:val="clear" w:color="auto" w:fill="auto"/>
          </w:tcPr>
          <w:p w:rsidR="0054656F" w:rsidRPr="0054656F" w:rsidRDefault="0054656F" w:rsidP="0054656F">
            <w:pPr>
              <w:rPr>
                <w:szCs w:val="24"/>
              </w:rPr>
            </w:pPr>
          </w:p>
        </w:tc>
      </w:tr>
      <w:tr w:rsidR="008969CA" w:rsidRPr="00E84895" w:rsidTr="00AC3FE3">
        <w:trPr>
          <w:trHeight w:val="841"/>
        </w:trPr>
        <w:tc>
          <w:tcPr>
            <w:tcW w:w="2293" w:type="dxa"/>
            <w:hideMark/>
          </w:tcPr>
          <w:p w:rsidR="008969CA" w:rsidRPr="00E84895" w:rsidRDefault="008969CA" w:rsidP="00AC3FE3">
            <w:pPr>
              <w:rPr>
                <w:b/>
                <w:bCs/>
              </w:rPr>
            </w:pPr>
            <w:r w:rsidRPr="00E84895">
              <w:rPr>
                <w:b/>
                <w:bCs/>
              </w:rPr>
              <w:lastRenderedPageBreak/>
              <w:t>Area</w:t>
            </w:r>
          </w:p>
        </w:tc>
        <w:tc>
          <w:tcPr>
            <w:tcW w:w="3459" w:type="dxa"/>
            <w:hideMark/>
          </w:tcPr>
          <w:p w:rsidR="008969CA" w:rsidRPr="00E84895" w:rsidRDefault="008969CA" w:rsidP="00AC3FE3">
            <w:pPr>
              <w:rPr>
                <w:b/>
                <w:bCs/>
              </w:rPr>
            </w:pPr>
            <w:r w:rsidRPr="00E84895">
              <w:rPr>
                <w:b/>
                <w:bCs/>
              </w:rPr>
              <w:t>Action</w:t>
            </w:r>
          </w:p>
        </w:tc>
        <w:tc>
          <w:tcPr>
            <w:tcW w:w="5696" w:type="dxa"/>
            <w:hideMark/>
          </w:tcPr>
          <w:p w:rsidR="008969CA" w:rsidRPr="00E84895" w:rsidRDefault="008969CA" w:rsidP="00AC3FE3">
            <w:pPr>
              <w:rPr>
                <w:b/>
                <w:bCs/>
              </w:rPr>
            </w:pPr>
            <w:r w:rsidRPr="00E84895">
              <w:rPr>
                <w:b/>
                <w:bCs/>
              </w:rPr>
              <w:t>Update on actions taken since previous Pension Fund Committee meeting and in planning currently</w:t>
            </w:r>
          </w:p>
        </w:tc>
        <w:tc>
          <w:tcPr>
            <w:tcW w:w="2500" w:type="dxa"/>
            <w:noWrap/>
            <w:hideMark/>
          </w:tcPr>
          <w:p w:rsidR="008969CA" w:rsidRPr="00E84895" w:rsidRDefault="008969CA" w:rsidP="00AC3FE3">
            <w:pPr>
              <w:rPr>
                <w:b/>
                <w:bCs/>
              </w:rPr>
            </w:pPr>
            <w:r w:rsidRPr="00E84895">
              <w:rPr>
                <w:b/>
                <w:bCs/>
              </w:rPr>
              <w:t>Status</w:t>
            </w:r>
          </w:p>
        </w:tc>
      </w:tr>
      <w:tr w:rsidR="008969CA" w:rsidRPr="00E84895" w:rsidTr="00AC3FE3">
        <w:trPr>
          <w:trHeight w:val="315"/>
        </w:trPr>
        <w:tc>
          <w:tcPr>
            <w:tcW w:w="13948" w:type="dxa"/>
            <w:gridSpan w:val="4"/>
            <w:tcBorders>
              <w:top w:val="single" w:sz="4" w:space="0" w:color="auto"/>
            </w:tcBorders>
            <w:hideMark/>
          </w:tcPr>
          <w:p w:rsidR="008969CA" w:rsidRPr="00E84895" w:rsidRDefault="008969CA" w:rsidP="00AC3FE3">
            <w:pPr>
              <w:rPr>
                <w:b/>
                <w:bCs/>
              </w:rPr>
            </w:pPr>
            <w:r w:rsidRPr="00E84895">
              <w:rPr>
                <w:b/>
                <w:bCs/>
              </w:rPr>
              <w:t>Existing Investment Activity</w:t>
            </w:r>
          </w:p>
        </w:tc>
      </w:tr>
      <w:tr w:rsidR="008969CA" w:rsidRPr="00E84895" w:rsidTr="00AC3FE3">
        <w:trPr>
          <w:trHeight w:val="317"/>
        </w:trPr>
        <w:tc>
          <w:tcPr>
            <w:tcW w:w="13948" w:type="dxa"/>
            <w:gridSpan w:val="4"/>
            <w:hideMark/>
          </w:tcPr>
          <w:p w:rsidR="008969CA" w:rsidRPr="00E84895" w:rsidRDefault="008969CA" w:rsidP="00AC3FE3">
            <w:r w:rsidRPr="00E84895">
              <w:t>Outcome 4</w:t>
            </w:r>
          </w:p>
        </w:tc>
      </w:tr>
      <w:tr w:rsidR="008969CA" w:rsidRPr="00E84895" w:rsidTr="00AC3FE3">
        <w:trPr>
          <w:trHeight w:val="1065"/>
        </w:trPr>
        <w:tc>
          <w:tcPr>
            <w:tcW w:w="13948" w:type="dxa"/>
            <w:gridSpan w:val="4"/>
            <w:hideMark/>
          </w:tcPr>
          <w:p w:rsidR="008969CA" w:rsidRPr="00E84895" w:rsidRDefault="008969CA" w:rsidP="00AC3FE3">
            <w:r w:rsidRPr="00E84895">
              <w:t>The Working Group encouraged the taking of specific steps or actions to reduce carbon production within the Fund's portfolio - for example, within the property portfolio. In addition, the Group supported the continued identification of good investment opportunities and the making of investments that provide appropriate returns and which may possess certain 'green' or clean energy characteristics.</w:t>
            </w:r>
          </w:p>
        </w:tc>
      </w:tr>
      <w:tr w:rsidR="008969CA" w:rsidRPr="00E84895" w:rsidTr="00AC3FE3">
        <w:trPr>
          <w:trHeight w:val="1155"/>
        </w:trPr>
        <w:tc>
          <w:tcPr>
            <w:tcW w:w="2293" w:type="dxa"/>
            <w:hideMark/>
          </w:tcPr>
          <w:p w:rsidR="008969CA" w:rsidRPr="00E84895" w:rsidRDefault="008969CA" w:rsidP="00AC3FE3">
            <w:r w:rsidRPr="00E84895">
              <w:t>Action 4</w:t>
            </w:r>
          </w:p>
        </w:tc>
        <w:tc>
          <w:tcPr>
            <w:tcW w:w="3459" w:type="dxa"/>
            <w:hideMark/>
          </w:tcPr>
          <w:p w:rsidR="008969CA" w:rsidRPr="00E84895" w:rsidRDefault="008969CA" w:rsidP="00AC3FE3">
            <w:r w:rsidRPr="00E84895">
              <w:t>Reduce carbon footprint of LCPF property portfolio wherever possible</w:t>
            </w:r>
          </w:p>
        </w:tc>
        <w:tc>
          <w:tcPr>
            <w:tcW w:w="5696" w:type="dxa"/>
            <w:hideMark/>
          </w:tcPr>
          <w:p w:rsidR="008969CA" w:rsidRPr="00E84895" w:rsidRDefault="008969CA" w:rsidP="00AC3FE3">
            <w:pPr>
              <w:rPr>
                <w:i/>
                <w:iCs/>
              </w:rPr>
            </w:pPr>
            <w:r w:rsidRPr="00E84895">
              <w:rPr>
                <w:i/>
                <w:iCs/>
              </w:rPr>
              <w:t>Consideration will be given to how the carbon footprint of the current property portfolio can be captured in order to facilitate the identification of opportunities for reduction going forward.</w:t>
            </w:r>
            <w:r w:rsidRPr="00E84895">
              <w:rPr>
                <w:i/>
                <w:iCs/>
              </w:rPr>
              <w:br/>
              <w:t>Will foreseeably be related to and affected by action 7 below.</w:t>
            </w:r>
          </w:p>
        </w:tc>
        <w:tc>
          <w:tcPr>
            <w:tcW w:w="2500" w:type="dxa"/>
            <w:noWrap/>
            <w:hideMark/>
          </w:tcPr>
          <w:p w:rsidR="008969CA" w:rsidRPr="00E84895" w:rsidRDefault="008969CA" w:rsidP="00AC3FE3">
            <w:r w:rsidRPr="00E84895">
              <w:t>Under planning</w:t>
            </w:r>
          </w:p>
        </w:tc>
      </w:tr>
      <w:tr w:rsidR="008969CA" w:rsidRPr="00E84895" w:rsidTr="00AC3FE3">
        <w:trPr>
          <w:trHeight w:val="315"/>
        </w:trPr>
        <w:tc>
          <w:tcPr>
            <w:tcW w:w="13948" w:type="dxa"/>
            <w:gridSpan w:val="4"/>
            <w:hideMark/>
          </w:tcPr>
          <w:p w:rsidR="008969CA" w:rsidRPr="00E84895" w:rsidRDefault="008969CA" w:rsidP="00AC3FE3">
            <w:pPr>
              <w:rPr>
                <w:b/>
                <w:bCs/>
              </w:rPr>
            </w:pPr>
            <w:r w:rsidRPr="00E84895">
              <w:rPr>
                <w:b/>
                <w:bCs/>
              </w:rPr>
              <w:t>Governance and Policy</w:t>
            </w:r>
          </w:p>
        </w:tc>
      </w:tr>
      <w:tr w:rsidR="008969CA" w:rsidRPr="00E84895" w:rsidTr="00AC3FE3">
        <w:trPr>
          <w:trHeight w:val="300"/>
        </w:trPr>
        <w:tc>
          <w:tcPr>
            <w:tcW w:w="13948" w:type="dxa"/>
            <w:gridSpan w:val="4"/>
            <w:hideMark/>
          </w:tcPr>
          <w:p w:rsidR="008969CA" w:rsidRPr="00E84895" w:rsidRDefault="008969CA" w:rsidP="00AC3FE3">
            <w:r w:rsidRPr="00E84895">
              <w:t>Outcome 5</w:t>
            </w:r>
          </w:p>
        </w:tc>
      </w:tr>
      <w:tr w:rsidR="008969CA" w:rsidRPr="00E84895" w:rsidTr="00AC3FE3">
        <w:trPr>
          <w:trHeight w:val="720"/>
        </w:trPr>
        <w:tc>
          <w:tcPr>
            <w:tcW w:w="13948" w:type="dxa"/>
            <w:gridSpan w:val="4"/>
            <w:hideMark/>
          </w:tcPr>
          <w:p w:rsidR="008969CA" w:rsidRPr="00E84895" w:rsidRDefault="008969CA" w:rsidP="00AC3FE3">
            <w:r w:rsidRPr="00E84895">
              <w:t>The Working Group recommend the establishment by the Fund of a Responsible Investment Policy based on the Policy Tool produced by UNPRI, and subsequently work towards the adoption of the UN Principles.</w:t>
            </w:r>
          </w:p>
        </w:tc>
      </w:tr>
      <w:tr w:rsidR="008969CA" w:rsidRPr="00E84895" w:rsidTr="00B21B7F">
        <w:trPr>
          <w:trHeight w:val="70"/>
        </w:trPr>
        <w:tc>
          <w:tcPr>
            <w:tcW w:w="2293" w:type="dxa"/>
            <w:hideMark/>
          </w:tcPr>
          <w:p w:rsidR="008969CA" w:rsidRPr="00E84895" w:rsidRDefault="008969CA" w:rsidP="00AC3FE3">
            <w:r w:rsidRPr="00E84895">
              <w:t>Action 5a</w:t>
            </w:r>
          </w:p>
        </w:tc>
        <w:tc>
          <w:tcPr>
            <w:tcW w:w="3459" w:type="dxa"/>
            <w:hideMark/>
          </w:tcPr>
          <w:p w:rsidR="008969CA" w:rsidRPr="00E84895" w:rsidRDefault="008969CA" w:rsidP="00AC3FE3">
            <w:r w:rsidRPr="00E84895">
              <w:t>Create a Responsible Investment Policy for the Fund</w:t>
            </w:r>
          </w:p>
        </w:tc>
        <w:tc>
          <w:tcPr>
            <w:tcW w:w="5696" w:type="dxa"/>
            <w:hideMark/>
          </w:tcPr>
          <w:p w:rsidR="008969CA" w:rsidRPr="00E84895" w:rsidRDefault="008969CA" w:rsidP="008969CA">
            <w:pPr>
              <w:rPr>
                <w:i/>
                <w:iCs/>
              </w:rPr>
            </w:pPr>
            <w:r w:rsidRPr="00E84895">
              <w:rPr>
                <w:i/>
                <w:iCs/>
              </w:rPr>
              <w:t xml:space="preserve">The recruitment of a Financial Policy Officer has brought the additional capacity needed to facilitate the further development of an RI policy for the Fund. </w:t>
            </w:r>
            <w:r w:rsidRPr="00E84895">
              <w:rPr>
                <w:i/>
                <w:iCs/>
              </w:rPr>
              <w:br/>
              <w:t>Achieving a policy which is of practical benefit to the Fund and its stakeholders going forward and which contributes to the fulfilment of commitments made as a signatory of UNPRI will involve a number of steps</w:t>
            </w:r>
            <w:r w:rsidRPr="00E84895">
              <w:rPr>
                <w:i/>
                <w:iCs/>
              </w:rPr>
              <w:br/>
              <w:t xml:space="preserve">- a more detailed position statement on the Fund's aspirations in relation to RI </w:t>
            </w:r>
            <w:r w:rsidRPr="00E84895">
              <w:rPr>
                <w:i/>
                <w:iCs/>
              </w:rPr>
              <w:br/>
              <w:t>- the identification of practical approaches by which these aspirations will be fulfilled</w:t>
            </w:r>
            <w:r w:rsidRPr="00E84895">
              <w:rPr>
                <w:i/>
                <w:iCs/>
              </w:rPr>
              <w:br/>
              <w:t>- the design of any new agreements/documents and reporting/monitoring approaches needed (minimal bureaucracy being a key aim)</w:t>
            </w:r>
          </w:p>
        </w:tc>
        <w:tc>
          <w:tcPr>
            <w:tcW w:w="2500" w:type="dxa"/>
            <w:noWrap/>
            <w:hideMark/>
          </w:tcPr>
          <w:p w:rsidR="008969CA" w:rsidRPr="00E84895" w:rsidRDefault="008969CA" w:rsidP="00AC3FE3">
            <w:r w:rsidRPr="00E84895">
              <w:t>Under planning</w:t>
            </w:r>
          </w:p>
        </w:tc>
      </w:tr>
      <w:tr w:rsidR="00B21B7F" w:rsidRPr="00E84895" w:rsidTr="00AC3FE3">
        <w:trPr>
          <w:trHeight w:val="841"/>
        </w:trPr>
        <w:tc>
          <w:tcPr>
            <w:tcW w:w="2293" w:type="dxa"/>
            <w:hideMark/>
          </w:tcPr>
          <w:p w:rsidR="00B21B7F" w:rsidRPr="00E84895" w:rsidRDefault="00B21B7F" w:rsidP="00AC3FE3">
            <w:pPr>
              <w:rPr>
                <w:b/>
                <w:bCs/>
              </w:rPr>
            </w:pPr>
            <w:r w:rsidRPr="00E84895">
              <w:rPr>
                <w:b/>
                <w:bCs/>
              </w:rPr>
              <w:lastRenderedPageBreak/>
              <w:t>Area</w:t>
            </w:r>
          </w:p>
        </w:tc>
        <w:tc>
          <w:tcPr>
            <w:tcW w:w="3459" w:type="dxa"/>
            <w:hideMark/>
          </w:tcPr>
          <w:p w:rsidR="00B21B7F" w:rsidRPr="00E84895" w:rsidRDefault="00B21B7F" w:rsidP="00AC3FE3">
            <w:pPr>
              <w:rPr>
                <w:b/>
                <w:bCs/>
              </w:rPr>
            </w:pPr>
            <w:r w:rsidRPr="00E84895">
              <w:rPr>
                <w:b/>
                <w:bCs/>
              </w:rPr>
              <w:t>Action</w:t>
            </w:r>
          </w:p>
        </w:tc>
        <w:tc>
          <w:tcPr>
            <w:tcW w:w="5696" w:type="dxa"/>
            <w:hideMark/>
          </w:tcPr>
          <w:p w:rsidR="00B21B7F" w:rsidRPr="00E84895" w:rsidRDefault="00B21B7F" w:rsidP="00AC3FE3">
            <w:pPr>
              <w:rPr>
                <w:b/>
                <w:bCs/>
              </w:rPr>
            </w:pPr>
            <w:r w:rsidRPr="00E84895">
              <w:rPr>
                <w:b/>
                <w:bCs/>
              </w:rPr>
              <w:t>Update on actions taken since previous Pension Fund Committee meeting and in planning currently</w:t>
            </w:r>
          </w:p>
        </w:tc>
        <w:tc>
          <w:tcPr>
            <w:tcW w:w="2500" w:type="dxa"/>
            <w:noWrap/>
            <w:hideMark/>
          </w:tcPr>
          <w:p w:rsidR="00B21B7F" w:rsidRPr="00E84895" w:rsidRDefault="00B21B7F" w:rsidP="00AC3FE3">
            <w:pPr>
              <w:rPr>
                <w:b/>
                <w:bCs/>
              </w:rPr>
            </w:pPr>
            <w:r w:rsidRPr="00E84895">
              <w:rPr>
                <w:b/>
                <w:bCs/>
              </w:rPr>
              <w:t>Status</w:t>
            </w:r>
          </w:p>
        </w:tc>
      </w:tr>
      <w:tr w:rsidR="00B21B7F" w:rsidRPr="00E84895" w:rsidTr="00AC3FE3">
        <w:trPr>
          <w:trHeight w:val="1258"/>
        </w:trPr>
        <w:tc>
          <w:tcPr>
            <w:tcW w:w="2293" w:type="dxa"/>
            <w:hideMark/>
          </w:tcPr>
          <w:p w:rsidR="00B21B7F" w:rsidRPr="00E84895" w:rsidRDefault="00B21B7F" w:rsidP="00AC3FE3"/>
        </w:tc>
        <w:tc>
          <w:tcPr>
            <w:tcW w:w="3459" w:type="dxa"/>
            <w:hideMark/>
          </w:tcPr>
          <w:p w:rsidR="00B21B7F" w:rsidRPr="00E84895" w:rsidRDefault="00B21B7F" w:rsidP="00AC3FE3"/>
        </w:tc>
        <w:tc>
          <w:tcPr>
            <w:tcW w:w="5696" w:type="dxa"/>
            <w:hideMark/>
          </w:tcPr>
          <w:p w:rsidR="00B21B7F" w:rsidRPr="00E84895" w:rsidRDefault="00B21B7F" w:rsidP="00AC3FE3">
            <w:pPr>
              <w:rPr>
                <w:i/>
                <w:iCs/>
              </w:rPr>
            </w:pPr>
            <w:r w:rsidRPr="00E84895">
              <w:rPr>
                <w:i/>
                <w:iCs/>
              </w:rPr>
              <w:t>- the agreement by key personnel (e.g. internal investment managers, external fund managers, expert advisors, and agents ) of any practical/operational changes or new approaches/ requirements placed on them in order to comply with/deliver the approach set out within the RI Policy</w:t>
            </w:r>
          </w:p>
        </w:tc>
        <w:tc>
          <w:tcPr>
            <w:tcW w:w="2500" w:type="dxa"/>
            <w:noWrap/>
            <w:hideMark/>
          </w:tcPr>
          <w:p w:rsidR="00B21B7F" w:rsidRPr="00E84895" w:rsidRDefault="00B21B7F" w:rsidP="00AC3FE3"/>
        </w:tc>
      </w:tr>
      <w:tr w:rsidR="00B21B7F" w:rsidRPr="00E84895" w:rsidTr="00AC3FE3">
        <w:trPr>
          <w:trHeight w:val="968"/>
        </w:trPr>
        <w:tc>
          <w:tcPr>
            <w:tcW w:w="2293" w:type="dxa"/>
            <w:hideMark/>
          </w:tcPr>
          <w:p w:rsidR="00B21B7F" w:rsidRPr="00E84895" w:rsidRDefault="00B21B7F" w:rsidP="00AC3FE3">
            <w:r w:rsidRPr="00E84895">
              <w:t>Action 5b</w:t>
            </w:r>
          </w:p>
        </w:tc>
        <w:tc>
          <w:tcPr>
            <w:tcW w:w="3459" w:type="dxa"/>
            <w:hideMark/>
          </w:tcPr>
          <w:p w:rsidR="00B21B7F" w:rsidRPr="00E84895" w:rsidRDefault="00B21B7F" w:rsidP="00AC3FE3">
            <w:r w:rsidRPr="00E84895">
              <w:t>Consider signing up to the UN PRI initiative</w:t>
            </w:r>
          </w:p>
        </w:tc>
        <w:tc>
          <w:tcPr>
            <w:tcW w:w="5696" w:type="dxa"/>
            <w:hideMark/>
          </w:tcPr>
          <w:p w:rsidR="00B21B7F" w:rsidRPr="00E84895" w:rsidRDefault="00B21B7F" w:rsidP="00AC3FE3">
            <w:pPr>
              <w:rPr>
                <w:i/>
                <w:iCs/>
              </w:rPr>
            </w:pPr>
            <w:r w:rsidRPr="00E84895">
              <w:rPr>
                <w:i/>
                <w:iCs/>
              </w:rPr>
              <w:t xml:space="preserve">LCPF became an Asset Owner signatory on 10 March 2015, and is recognised on the UNPRI website.  </w:t>
            </w:r>
          </w:p>
        </w:tc>
        <w:tc>
          <w:tcPr>
            <w:tcW w:w="2500" w:type="dxa"/>
            <w:noWrap/>
            <w:hideMark/>
          </w:tcPr>
          <w:p w:rsidR="00B21B7F" w:rsidRPr="00E84895" w:rsidRDefault="00B21B7F" w:rsidP="00AC3FE3">
            <w:r w:rsidRPr="00E84895">
              <w:t xml:space="preserve">Concluded </w:t>
            </w:r>
          </w:p>
        </w:tc>
      </w:tr>
      <w:tr w:rsidR="00B21B7F" w:rsidRPr="00E84895" w:rsidTr="00AC3FE3">
        <w:trPr>
          <w:trHeight w:val="300"/>
        </w:trPr>
        <w:tc>
          <w:tcPr>
            <w:tcW w:w="13948" w:type="dxa"/>
            <w:gridSpan w:val="4"/>
            <w:hideMark/>
          </w:tcPr>
          <w:p w:rsidR="00B21B7F" w:rsidRPr="00E84895" w:rsidRDefault="00B21B7F" w:rsidP="00AC3FE3">
            <w:r w:rsidRPr="00E84895">
              <w:t>Outcome 6</w:t>
            </w:r>
          </w:p>
        </w:tc>
      </w:tr>
      <w:tr w:rsidR="00B21B7F" w:rsidRPr="00E84895" w:rsidTr="00B21B7F">
        <w:trPr>
          <w:trHeight w:val="420"/>
        </w:trPr>
        <w:tc>
          <w:tcPr>
            <w:tcW w:w="13948" w:type="dxa"/>
            <w:gridSpan w:val="4"/>
            <w:tcBorders>
              <w:bottom w:val="single" w:sz="4" w:space="0" w:color="auto"/>
            </w:tcBorders>
            <w:hideMark/>
          </w:tcPr>
          <w:p w:rsidR="00B21B7F" w:rsidRPr="00E84895" w:rsidRDefault="00B21B7F" w:rsidP="00AC3FE3">
            <w:r w:rsidRPr="00E84895">
              <w:t>A proposal for revised SRI wording within the SIP should be produced.</w:t>
            </w:r>
          </w:p>
        </w:tc>
      </w:tr>
      <w:tr w:rsidR="00B21B7F" w:rsidRPr="00E84895" w:rsidTr="00B21B7F">
        <w:trPr>
          <w:trHeight w:val="691"/>
        </w:trPr>
        <w:tc>
          <w:tcPr>
            <w:tcW w:w="2293" w:type="dxa"/>
            <w:tcBorders>
              <w:bottom w:val="single" w:sz="4" w:space="0" w:color="auto"/>
            </w:tcBorders>
            <w:hideMark/>
          </w:tcPr>
          <w:p w:rsidR="00B21B7F" w:rsidRPr="00E84895" w:rsidRDefault="00B21B7F" w:rsidP="00AC3FE3">
            <w:r w:rsidRPr="00E84895">
              <w:t>Action 6</w:t>
            </w:r>
          </w:p>
        </w:tc>
        <w:tc>
          <w:tcPr>
            <w:tcW w:w="3459" w:type="dxa"/>
            <w:tcBorders>
              <w:bottom w:val="single" w:sz="4" w:space="0" w:color="auto"/>
            </w:tcBorders>
            <w:hideMark/>
          </w:tcPr>
          <w:p w:rsidR="00B21B7F" w:rsidRPr="00E84895" w:rsidRDefault="00B21B7F" w:rsidP="00AC3FE3">
            <w:r w:rsidRPr="00E84895">
              <w:t>Rewrite Statement of Investment Principles section on RI/ ESG</w:t>
            </w:r>
          </w:p>
        </w:tc>
        <w:tc>
          <w:tcPr>
            <w:tcW w:w="5696" w:type="dxa"/>
            <w:tcBorders>
              <w:bottom w:val="single" w:sz="4" w:space="0" w:color="auto"/>
            </w:tcBorders>
            <w:hideMark/>
          </w:tcPr>
          <w:p w:rsidR="00B21B7F" w:rsidRPr="00E84895" w:rsidRDefault="00B21B7F" w:rsidP="00AC3FE3">
            <w:pPr>
              <w:rPr>
                <w:i/>
                <w:iCs/>
              </w:rPr>
            </w:pPr>
            <w:r w:rsidRPr="00E84895">
              <w:rPr>
                <w:i/>
                <w:iCs/>
              </w:rPr>
              <w:t>Revised wording in relation to responsible investment was incorporated into the revision of the Statement of Investment Principles approved by the Pension Fund Committee on 27 March 2015. Any further changes as the Responsible Investment approach develops will be incorporated accordingly.</w:t>
            </w:r>
          </w:p>
        </w:tc>
        <w:tc>
          <w:tcPr>
            <w:tcW w:w="2500" w:type="dxa"/>
            <w:tcBorders>
              <w:bottom w:val="single" w:sz="4" w:space="0" w:color="auto"/>
            </w:tcBorders>
            <w:hideMark/>
          </w:tcPr>
          <w:p w:rsidR="00B21B7F" w:rsidRPr="00E84895" w:rsidRDefault="00B21B7F" w:rsidP="00AC3FE3">
            <w:r w:rsidRPr="00E84895">
              <w:t>Concluded</w:t>
            </w:r>
          </w:p>
        </w:tc>
      </w:tr>
      <w:tr w:rsidR="00B21B7F" w:rsidRPr="00E84895" w:rsidTr="00B21B7F">
        <w:trPr>
          <w:trHeight w:val="1258"/>
        </w:trPr>
        <w:tc>
          <w:tcPr>
            <w:tcW w:w="2293" w:type="dxa"/>
            <w:tcBorders>
              <w:top w:val="single" w:sz="4" w:space="0" w:color="auto"/>
              <w:left w:val="nil"/>
              <w:bottom w:val="single" w:sz="4" w:space="0" w:color="auto"/>
              <w:right w:val="nil"/>
            </w:tcBorders>
          </w:tcPr>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Default="00B21B7F" w:rsidP="00AC3FE3"/>
          <w:p w:rsidR="00B21B7F" w:rsidRPr="00E84895" w:rsidRDefault="00B21B7F" w:rsidP="00AC3FE3"/>
        </w:tc>
        <w:tc>
          <w:tcPr>
            <w:tcW w:w="3459" w:type="dxa"/>
            <w:tcBorders>
              <w:top w:val="single" w:sz="4" w:space="0" w:color="auto"/>
              <w:left w:val="nil"/>
              <w:bottom w:val="single" w:sz="4" w:space="0" w:color="auto"/>
              <w:right w:val="nil"/>
            </w:tcBorders>
          </w:tcPr>
          <w:p w:rsidR="00B21B7F" w:rsidRPr="00E84895" w:rsidRDefault="00B21B7F" w:rsidP="00AC3FE3"/>
        </w:tc>
        <w:tc>
          <w:tcPr>
            <w:tcW w:w="5696" w:type="dxa"/>
            <w:tcBorders>
              <w:top w:val="single" w:sz="4" w:space="0" w:color="auto"/>
              <w:left w:val="nil"/>
              <w:bottom w:val="single" w:sz="4" w:space="0" w:color="auto"/>
              <w:right w:val="nil"/>
            </w:tcBorders>
          </w:tcPr>
          <w:p w:rsidR="00B21B7F" w:rsidRPr="00E84895" w:rsidRDefault="00B21B7F" w:rsidP="00AC3FE3">
            <w:pPr>
              <w:rPr>
                <w:i/>
                <w:iCs/>
              </w:rPr>
            </w:pPr>
          </w:p>
        </w:tc>
        <w:tc>
          <w:tcPr>
            <w:tcW w:w="2500" w:type="dxa"/>
            <w:tcBorders>
              <w:top w:val="single" w:sz="4" w:space="0" w:color="auto"/>
              <w:left w:val="nil"/>
              <w:bottom w:val="single" w:sz="4" w:space="0" w:color="auto"/>
              <w:right w:val="nil"/>
            </w:tcBorders>
            <w:noWrap/>
          </w:tcPr>
          <w:p w:rsidR="00B21B7F" w:rsidRPr="00E84895" w:rsidRDefault="00B21B7F" w:rsidP="00AC3FE3"/>
        </w:tc>
      </w:tr>
      <w:tr w:rsidR="00B21B7F" w:rsidRPr="00E84895" w:rsidTr="00B21B7F">
        <w:trPr>
          <w:trHeight w:val="300"/>
        </w:trPr>
        <w:tc>
          <w:tcPr>
            <w:tcW w:w="13948" w:type="dxa"/>
            <w:gridSpan w:val="4"/>
            <w:tcBorders>
              <w:top w:val="single" w:sz="4" w:space="0" w:color="auto"/>
            </w:tcBorders>
            <w:hideMark/>
          </w:tcPr>
          <w:p w:rsidR="00B21B7F" w:rsidRPr="00E84895" w:rsidRDefault="00B21B7F" w:rsidP="00AC3FE3">
            <w:pPr>
              <w:rPr>
                <w:b/>
                <w:bCs/>
              </w:rPr>
            </w:pPr>
            <w:r w:rsidRPr="00E84895">
              <w:rPr>
                <w:b/>
                <w:bCs/>
              </w:rPr>
              <w:lastRenderedPageBreak/>
              <w:t>Analysis and Monitoring</w:t>
            </w:r>
          </w:p>
        </w:tc>
      </w:tr>
      <w:tr w:rsidR="00B21B7F" w:rsidRPr="00E84895" w:rsidTr="00AC3FE3">
        <w:trPr>
          <w:trHeight w:val="315"/>
        </w:trPr>
        <w:tc>
          <w:tcPr>
            <w:tcW w:w="13948" w:type="dxa"/>
            <w:gridSpan w:val="4"/>
            <w:hideMark/>
          </w:tcPr>
          <w:p w:rsidR="00B21B7F" w:rsidRPr="00E84895" w:rsidRDefault="00B21B7F" w:rsidP="00AC3FE3">
            <w:r w:rsidRPr="00E84895">
              <w:t>Outcome 7</w:t>
            </w:r>
          </w:p>
        </w:tc>
      </w:tr>
      <w:tr w:rsidR="00B21B7F" w:rsidRPr="00E84895" w:rsidTr="00AC3FE3">
        <w:trPr>
          <w:trHeight w:val="435"/>
        </w:trPr>
        <w:tc>
          <w:tcPr>
            <w:tcW w:w="13948" w:type="dxa"/>
            <w:gridSpan w:val="4"/>
            <w:hideMark/>
          </w:tcPr>
          <w:p w:rsidR="00B21B7F" w:rsidRPr="00E84895" w:rsidRDefault="00B21B7F" w:rsidP="00AC3FE3">
            <w:r w:rsidRPr="00E84895">
              <w:t>Investigate the options for procuring/ signing up to an SRI/ ESG monitoring tool/ service.</w:t>
            </w:r>
          </w:p>
        </w:tc>
      </w:tr>
      <w:tr w:rsidR="00B21B7F" w:rsidRPr="00E84895" w:rsidTr="00AC3FE3">
        <w:trPr>
          <w:trHeight w:val="1590"/>
        </w:trPr>
        <w:tc>
          <w:tcPr>
            <w:tcW w:w="2293" w:type="dxa"/>
            <w:hideMark/>
          </w:tcPr>
          <w:p w:rsidR="00B21B7F" w:rsidRPr="00E84895" w:rsidRDefault="00B21B7F" w:rsidP="00AC3FE3">
            <w:r w:rsidRPr="00E84895">
              <w:t>Action 7</w:t>
            </w:r>
          </w:p>
        </w:tc>
        <w:tc>
          <w:tcPr>
            <w:tcW w:w="3459" w:type="dxa"/>
            <w:hideMark/>
          </w:tcPr>
          <w:p w:rsidR="00B21B7F" w:rsidRPr="00E84895" w:rsidRDefault="00B21B7F" w:rsidP="00AC3FE3">
            <w:r w:rsidRPr="00E84895">
              <w:t>Procure/ sign up to RI/ ESG monitoring tool/ service e.g. RobecoSAM</w:t>
            </w:r>
          </w:p>
        </w:tc>
        <w:tc>
          <w:tcPr>
            <w:tcW w:w="5696" w:type="dxa"/>
            <w:hideMark/>
          </w:tcPr>
          <w:p w:rsidR="00B21B7F" w:rsidRPr="00E84895" w:rsidRDefault="00B21B7F" w:rsidP="00AC3FE3">
            <w:pPr>
              <w:rPr>
                <w:i/>
                <w:iCs/>
              </w:rPr>
            </w:pPr>
            <w:r w:rsidRPr="00E84895">
              <w:rPr>
                <w:i/>
                <w:iCs/>
              </w:rPr>
              <w:t>Discussions have begun with potential providers, but further progress requires the Fund to determine through its Responsible Investment Policy what its aims and aspirations are in this area before deciding upon the best way to fulfil these requirements.</w:t>
            </w:r>
          </w:p>
        </w:tc>
        <w:tc>
          <w:tcPr>
            <w:tcW w:w="2500" w:type="dxa"/>
            <w:hideMark/>
          </w:tcPr>
          <w:p w:rsidR="00B21B7F" w:rsidRPr="00E84895" w:rsidRDefault="00B21B7F" w:rsidP="00AC3FE3">
            <w:r w:rsidRPr="00E84895">
              <w:t xml:space="preserve">Pending - subject to development / clarification of RI aspirations as part of 5a above </w:t>
            </w:r>
          </w:p>
        </w:tc>
      </w:tr>
      <w:tr w:rsidR="00B21B7F" w:rsidRPr="00E84895" w:rsidTr="00AC3FE3">
        <w:trPr>
          <w:trHeight w:val="300"/>
        </w:trPr>
        <w:tc>
          <w:tcPr>
            <w:tcW w:w="13948" w:type="dxa"/>
            <w:gridSpan w:val="4"/>
            <w:hideMark/>
          </w:tcPr>
          <w:p w:rsidR="00B21B7F" w:rsidRPr="00E84895" w:rsidRDefault="00B21B7F" w:rsidP="00AC3FE3">
            <w:r w:rsidRPr="00E84895">
              <w:t>Outcome 8</w:t>
            </w:r>
          </w:p>
        </w:tc>
      </w:tr>
      <w:tr w:rsidR="00B21B7F" w:rsidRPr="00E84895" w:rsidTr="00AC3FE3">
        <w:trPr>
          <w:trHeight w:val="405"/>
        </w:trPr>
        <w:tc>
          <w:tcPr>
            <w:tcW w:w="13948" w:type="dxa"/>
            <w:gridSpan w:val="4"/>
            <w:hideMark/>
          </w:tcPr>
          <w:p w:rsidR="00B21B7F" w:rsidRPr="00E84895" w:rsidRDefault="00B21B7F" w:rsidP="00AC3FE3">
            <w:r w:rsidRPr="00E84895">
              <w:t>Formalise SRI/ ESG discussions with external investment managers as part of ongoing engagement.</w:t>
            </w:r>
          </w:p>
        </w:tc>
      </w:tr>
      <w:tr w:rsidR="00B21B7F" w:rsidRPr="00E84895" w:rsidTr="00AC3FE3">
        <w:trPr>
          <w:trHeight w:val="1258"/>
        </w:trPr>
        <w:tc>
          <w:tcPr>
            <w:tcW w:w="2293" w:type="dxa"/>
            <w:hideMark/>
          </w:tcPr>
          <w:p w:rsidR="00B21B7F" w:rsidRPr="00E84895" w:rsidRDefault="00B21B7F" w:rsidP="00AC3FE3">
            <w:r w:rsidRPr="00E84895">
              <w:t>Action 8</w:t>
            </w:r>
          </w:p>
        </w:tc>
        <w:tc>
          <w:tcPr>
            <w:tcW w:w="3459" w:type="dxa"/>
            <w:hideMark/>
          </w:tcPr>
          <w:p w:rsidR="00B21B7F" w:rsidRPr="00E84895" w:rsidRDefault="00B21B7F" w:rsidP="00AC3FE3">
            <w:r w:rsidRPr="00E84895">
              <w:t>Create structured framework for ongoing discussions with external investment managers.</w:t>
            </w:r>
          </w:p>
        </w:tc>
        <w:tc>
          <w:tcPr>
            <w:tcW w:w="5696" w:type="dxa"/>
            <w:hideMark/>
          </w:tcPr>
          <w:p w:rsidR="00B21B7F" w:rsidRDefault="00B21B7F" w:rsidP="00AC3FE3">
            <w:pPr>
              <w:rPr>
                <w:i/>
                <w:iCs/>
              </w:rPr>
            </w:pPr>
            <w:r w:rsidRPr="00E84895">
              <w:rPr>
                <w:i/>
                <w:iCs/>
              </w:rPr>
              <w:t xml:space="preserve">Action 8 (Engagement) will be addressed as part of Action 5a above. </w:t>
            </w:r>
            <w:r w:rsidRPr="00E84895">
              <w:rPr>
                <w:i/>
                <w:iCs/>
              </w:rPr>
              <w:br/>
            </w:r>
            <w:r w:rsidRPr="00E84895">
              <w:rPr>
                <w:i/>
                <w:iCs/>
              </w:rPr>
              <w:br/>
              <w:t>The development of an RI Policy will include consideration of what is practical and desirable in terms of a more structured approach and will identify any changes/additional requirements this places upon key personn</w:t>
            </w:r>
            <w:r>
              <w:rPr>
                <w:i/>
                <w:iCs/>
              </w:rPr>
              <w:t>e</w:t>
            </w:r>
            <w:r w:rsidRPr="00E84895">
              <w:rPr>
                <w:i/>
                <w:iCs/>
              </w:rPr>
              <w:t>l (including external investment managers) or existing processes in preparation for discussion and agreement.</w:t>
            </w:r>
            <w:r w:rsidRPr="00E84895">
              <w:rPr>
                <w:i/>
                <w:iCs/>
              </w:rPr>
              <w:br/>
              <w:t>The RI Policy (when drafted) will reflect the approach and advice on engaging with external fund managers set out within the NAPF publication "Incorporating ESG considerations into investment decisions" (This document was a PF Committee agenda item in March 2015).</w:t>
            </w:r>
          </w:p>
          <w:p w:rsidR="00B21B7F" w:rsidRPr="00E84895" w:rsidRDefault="00B21B7F" w:rsidP="00AC3FE3">
            <w:pPr>
              <w:rPr>
                <w:i/>
                <w:iCs/>
              </w:rPr>
            </w:pPr>
          </w:p>
        </w:tc>
        <w:tc>
          <w:tcPr>
            <w:tcW w:w="2500" w:type="dxa"/>
            <w:noWrap/>
            <w:hideMark/>
          </w:tcPr>
          <w:p w:rsidR="00B21B7F" w:rsidRPr="00E84895" w:rsidRDefault="00B21B7F" w:rsidP="00AC3FE3">
            <w:r w:rsidRPr="00E84895">
              <w:t>Under planning</w:t>
            </w:r>
          </w:p>
        </w:tc>
      </w:tr>
    </w:tbl>
    <w:p w:rsidR="00236CF1" w:rsidRDefault="00236CF1" w:rsidP="005A27AA">
      <w:pPr>
        <w:sectPr w:rsidR="00236CF1" w:rsidSect="0054656F">
          <w:pgSz w:w="16840" w:h="11907" w:orient="landscape" w:code="9"/>
          <w:pgMar w:top="851" w:right="1276" w:bottom="425" w:left="1134" w:header="720" w:footer="159" w:gutter="0"/>
          <w:cols w:space="720"/>
          <w:titlePg/>
          <w:docGrid w:linePitch="326"/>
        </w:sectPr>
      </w:pPr>
    </w:p>
    <w:p w:rsidR="003E6A45" w:rsidRPr="00EC0030" w:rsidRDefault="003E6A45">
      <w:pPr>
        <w:pStyle w:val="Heading1"/>
      </w:pPr>
      <w:r w:rsidRPr="00EC0030">
        <w:lastRenderedPageBreak/>
        <w:t>Consultations</w:t>
      </w:r>
    </w:p>
    <w:p w:rsidR="003E6A45" w:rsidRPr="00EC0030" w:rsidRDefault="003E6A45">
      <w:pPr>
        <w:pStyle w:val="Header"/>
      </w:pPr>
    </w:p>
    <w:p w:rsidR="003E6A45" w:rsidRPr="00EC0030" w:rsidRDefault="003C30A9">
      <w:r w:rsidRPr="00EC0030">
        <w:t>N/A</w:t>
      </w:r>
    </w:p>
    <w:p w:rsidR="003E6A45" w:rsidRPr="00EC0030" w:rsidRDefault="003E6A45"/>
    <w:p w:rsidR="00772BBA" w:rsidRPr="00EC0030" w:rsidRDefault="003E6A45" w:rsidP="00772BBA">
      <w:r w:rsidRPr="00EC0030">
        <w:rPr>
          <w:b/>
        </w:rPr>
        <w:t>Implications</w:t>
      </w:r>
    </w:p>
    <w:p w:rsidR="00772BBA" w:rsidRPr="00EC0030" w:rsidRDefault="00772BBA" w:rsidP="00772BBA"/>
    <w:p w:rsidR="00B8357F" w:rsidRPr="00EC0030" w:rsidRDefault="00B8357F" w:rsidP="00B8357F">
      <w:r w:rsidRPr="00EC0030">
        <w:t>It is a key component of good governance that the Fund is an engaged and responsible investor complying with the Stewardship Code.</w:t>
      </w:r>
    </w:p>
    <w:p w:rsidR="00B8357F" w:rsidRPr="00EC0030" w:rsidRDefault="00B8357F" w:rsidP="00B8357F"/>
    <w:p w:rsidR="00B8357F" w:rsidRPr="00EC0030" w:rsidRDefault="00B8357F" w:rsidP="00B8357F">
      <w:pPr>
        <w:rPr>
          <w:b/>
        </w:rPr>
      </w:pPr>
      <w:r w:rsidRPr="00EC0030">
        <w:t>Well</w:t>
      </w:r>
      <w:r w:rsidR="00A53FAA" w:rsidRPr="00EC0030">
        <w:t>-</w:t>
      </w:r>
      <w:r w:rsidRPr="00EC0030">
        <w:t>run</w:t>
      </w:r>
      <w:r w:rsidR="00A53FAA" w:rsidRPr="00EC0030">
        <w:t>,</w:t>
      </w:r>
      <w:r w:rsidRPr="00EC0030">
        <w:t xml:space="preserve"> responsible companies are more likely to be successful and less likely to suffer from unexpected scandals</w:t>
      </w:r>
      <w:r w:rsidR="00EC0030" w:rsidRPr="00EC0030">
        <w:t xml:space="preserve"> which impact on shareholder value</w:t>
      </w:r>
      <w:r w:rsidRPr="00EC0030">
        <w:t>.</w:t>
      </w:r>
    </w:p>
    <w:p w:rsidR="00B8357F" w:rsidRPr="00EC0030" w:rsidRDefault="00B8357F" w:rsidP="00772BBA">
      <w:pPr>
        <w:rPr>
          <w:b/>
        </w:rPr>
      </w:pPr>
    </w:p>
    <w:p w:rsidR="00772BBA" w:rsidRPr="00EC0030" w:rsidRDefault="00772BBA" w:rsidP="00772BBA">
      <w:pPr>
        <w:rPr>
          <w:b/>
        </w:rPr>
      </w:pPr>
      <w:r w:rsidRPr="00EC0030">
        <w:rPr>
          <w:b/>
        </w:rPr>
        <w:t>Risk management</w:t>
      </w:r>
    </w:p>
    <w:p w:rsidR="00772BBA" w:rsidRPr="00EC0030" w:rsidRDefault="00772BBA" w:rsidP="00772BBA"/>
    <w:p w:rsidR="00B8357F" w:rsidRPr="00EC0030" w:rsidRDefault="00B8357F" w:rsidP="00B8357F">
      <w:r w:rsidRPr="00EC0030">
        <w:t>The promotion of good responsible corporate governance in the companies the Fund is invested in reduces the risk of unexpected losses arising as a result of poor over-sight and lack of independence.</w:t>
      </w:r>
    </w:p>
    <w:p w:rsidR="00772BBA" w:rsidRPr="00EC0030" w:rsidRDefault="00772BBA" w:rsidP="00772BBA"/>
    <w:p w:rsidR="003C30A9" w:rsidRPr="00EC0030" w:rsidRDefault="003C30A9" w:rsidP="003C30A9">
      <w:r w:rsidRPr="00EC0030">
        <w:t xml:space="preserve">Involvement in a non-US type of “class action” may result in </w:t>
      </w:r>
      <w:r w:rsidR="00EC0030" w:rsidRPr="00EC0030">
        <w:t xml:space="preserve">the recovery of </w:t>
      </w:r>
      <w:r w:rsidRPr="00EC0030">
        <w:t>los</w:t>
      </w:r>
      <w:r w:rsidR="00EC0030" w:rsidRPr="00EC0030">
        <w:t xml:space="preserve">ses incurred by </w:t>
      </w:r>
      <w:r w:rsidR="00905EDA" w:rsidRPr="00EC0030">
        <w:t>the Fund</w:t>
      </w:r>
      <w:r w:rsidR="00EC0030" w:rsidRPr="00EC0030">
        <w:t xml:space="preserve"> </w:t>
      </w:r>
      <w:r w:rsidRPr="00EC0030">
        <w:t>but</w:t>
      </w:r>
      <w:r w:rsidR="00EC0030" w:rsidRPr="00EC0030">
        <w:t>,</w:t>
      </w:r>
      <w:r w:rsidRPr="00EC0030">
        <w:t xml:space="preserve"> should the claim be lost</w:t>
      </w:r>
      <w:r w:rsidR="00EC0030" w:rsidRPr="00EC0030">
        <w:t xml:space="preserve">, </w:t>
      </w:r>
      <w:r w:rsidRPr="00EC0030">
        <w:t xml:space="preserve">the Fund may incur related costs which may not be known with certainty at the time of filing. </w:t>
      </w:r>
    </w:p>
    <w:p w:rsidR="003C30A9" w:rsidRPr="00EC0030" w:rsidRDefault="003C30A9" w:rsidP="003C30A9"/>
    <w:p w:rsidR="003C30A9" w:rsidRPr="00EC0030" w:rsidRDefault="003C30A9" w:rsidP="003C30A9">
      <w:r w:rsidRPr="00EC0030">
        <w:t xml:space="preserve">Should the claimants in the litigation against RBS fail, then it is possible that LCPF faces having to make a contribution towards RBS costs notwithstanding the insurance </w:t>
      </w:r>
      <w:r w:rsidR="00F265CC">
        <w:t xml:space="preserve">which is </w:t>
      </w:r>
      <w:r w:rsidRPr="00EC0030">
        <w:t>in place.  The amount of any shortfall following an insurance settlement and the LCPF contribution thereto is impossible to quantify at this stage.</w:t>
      </w:r>
    </w:p>
    <w:p w:rsidR="003C30A9" w:rsidRPr="00EC0030" w:rsidRDefault="003C30A9" w:rsidP="003C30A9"/>
    <w:p w:rsidR="003C30A9" w:rsidRPr="00EC0030" w:rsidRDefault="003C30A9" w:rsidP="003C30A9">
      <w:r w:rsidRPr="00EC0030">
        <w:t xml:space="preserve">Furthermore, if </w:t>
      </w:r>
      <w:r w:rsidR="00EC0030" w:rsidRPr="00EC0030">
        <w:t xml:space="preserve">the case is </w:t>
      </w:r>
      <w:r w:rsidRPr="00EC0030">
        <w:t xml:space="preserve">successful the LCPF will be required to pay the amounts owing </w:t>
      </w:r>
      <w:r w:rsidR="00EC0030" w:rsidRPr="00EC0030">
        <w:t xml:space="preserve">for Legal Services </w:t>
      </w:r>
      <w:r w:rsidRPr="00EC0030">
        <w:t xml:space="preserve">under the Conditional Fee Agreement (insofar as not recovered from RBS) and </w:t>
      </w:r>
      <w:r w:rsidR="00EC0030" w:rsidRPr="00EC0030">
        <w:t xml:space="preserve">to </w:t>
      </w:r>
      <w:r w:rsidRPr="00EC0030">
        <w:t>pay a proportion of any sum recovered to the funder from the proceeds of the litigation.</w:t>
      </w:r>
    </w:p>
    <w:p w:rsidR="003C30A9" w:rsidRPr="00EC0030" w:rsidRDefault="003C30A9" w:rsidP="003C30A9"/>
    <w:p w:rsidR="00EE5FAD" w:rsidRPr="00EC0030" w:rsidRDefault="00EE5FAD" w:rsidP="00EE5FAD">
      <w:pPr>
        <w:pStyle w:val="Heading5"/>
        <w:rPr>
          <w:rFonts w:ascii="Arial" w:hAnsi="Arial"/>
          <w:u w:val="none"/>
        </w:rPr>
      </w:pPr>
      <w:r w:rsidRPr="00EC0030">
        <w:rPr>
          <w:rFonts w:ascii="Arial" w:hAnsi="Arial"/>
          <w:u w:val="none"/>
        </w:rPr>
        <w:t>Local Government (Access to Information) Act 1985</w:t>
      </w:r>
    </w:p>
    <w:p w:rsidR="00EE5FAD" w:rsidRPr="00EC0030" w:rsidRDefault="00EE5FAD" w:rsidP="00EE5FAD">
      <w:pPr>
        <w:pStyle w:val="Heading5"/>
        <w:rPr>
          <w:rFonts w:ascii="Arial" w:hAnsi="Arial"/>
          <w:u w:val="none"/>
        </w:rPr>
      </w:pPr>
      <w:r w:rsidRPr="00EC0030">
        <w:rPr>
          <w:rFonts w:ascii="Arial" w:hAnsi="Arial"/>
          <w:u w:val="none"/>
        </w:rPr>
        <w:t>List of Background Papers</w:t>
      </w:r>
    </w:p>
    <w:p w:rsidR="00EE5FAD" w:rsidRPr="00EC0030" w:rsidRDefault="00EE5FAD" w:rsidP="00EE5FAD"/>
    <w:tbl>
      <w:tblPr>
        <w:tblW w:w="0" w:type="auto"/>
        <w:tblLayout w:type="fixed"/>
        <w:tblLook w:val="0000" w:firstRow="0" w:lastRow="0" w:firstColumn="0" w:lastColumn="0" w:noHBand="0" w:noVBand="0"/>
      </w:tblPr>
      <w:tblGrid>
        <w:gridCol w:w="3227"/>
        <w:gridCol w:w="2775"/>
        <w:gridCol w:w="3178"/>
      </w:tblGrid>
      <w:tr w:rsidR="0042193C" w:rsidRPr="00EC0030" w:rsidTr="00EE5FAD">
        <w:tc>
          <w:tcPr>
            <w:tcW w:w="3227" w:type="dxa"/>
          </w:tcPr>
          <w:p w:rsidR="00EE5FAD" w:rsidRPr="00EC0030" w:rsidRDefault="00EE5FAD" w:rsidP="00EE5FAD">
            <w:pPr>
              <w:pStyle w:val="Heading7"/>
              <w:rPr>
                <w:rFonts w:ascii="Arial" w:hAnsi="Arial"/>
                <w:u w:val="none"/>
              </w:rPr>
            </w:pPr>
            <w:r w:rsidRPr="00EC0030">
              <w:rPr>
                <w:rFonts w:ascii="Arial" w:hAnsi="Arial"/>
                <w:u w:val="none"/>
              </w:rPr>
              <w:t>Paper</w:t>
            </w:r>
          </w:p>
        </w:tc>
        <w:tc>
          <w:tcPr>
            <w:tcW w:w="2775" w:type="dxa"/>
          </w:tcPr>
          <w:p w:rsidR="00EE5FAD" w:rsidRPr="00EC0030" w:rsidRDefault="00EE5FAD" w:rsidP="00EE5FAD">
            <w:pPr>
              <w:pStyle w:val="Heading7"/>
              <w:rPr>
                <w:rFonts w:ascii="Arial" w:hAnsi="Arial"/>
                <w:u w:val="none"/>
              </w:rPr>
            </w:pPr>
            <w:r w:rsidRPr="00EC0030">
              <w:rPr>
                <w:rFonts w:ascii="Arial" w:hAnsi="Arial"/>
                <w:u w:val="none"/>
              </w:rPr>
              <w:t>Date</w:t>
            </w:r>
          </w:p>
        </w:tc>
        <w:tc>
          <w:tcPr>
            <w:tcW w:w="3178" w:type="dxa"/>
          </w:tcPr>
          <w:p w:rsidR="00EE5FAD" w:rsidRPr="00EC0030" w:rsidRDefault="00EE5FAD" w:rsidP="00EE5FAD">
            <w:pPr>
              <w:pStyle w:val="Heading7"/>
              <w:rPr>
                <w:rFonts w:ascii="Arial" w:hAnsi="Arial"/>
                <w:u w:val="none"/>
              </w:rPr>
            </w:pPr>
            <w:r w:rsidRPr="00EC0030">
              <w:rPr>
                <w:rFonts w:ascii="Arial" w:hAnsi="Arial"/>
                <w:u w:val="none"/>
              </w:rPr>
              <w:t>Contact/Directorate/Tel</w:t>
            </w:r>
          </w:p>
        </w:tc>
      </w:tr>
      <w:tr w:rsidR="0042193C" w:rsidRPr="00EC0030" w:rsidTr="00EE5FAD">
        <w:tc>
          <w:tcPr>
            <w:tcW w:w="3227" w:type="dxa"/>
          </w:tcPr>
          <w:p w:rsidR="00EE5FAD" w:rsidRPr="00EC0030" w:rsidRDefault="00EE5FAD" w:rsidP="00EE5FAD">
            <w:pPr>
              <w:pStyle w:val="Heading7"/>
              <w:rPr>
                <w:rFonts w:ascii="Arial" w:hAnsi="Arial"/>
                <w:u w:val="none"/>
              </w:rPr>
            </w:pPr>
          </w:p>
          <w:p w:rsidR="00EE5FAD" w:rsidRPr="00EC0030" w:rsidRDefault="00EE5FAD" w:rsidP="00EE5FAD">
            <w:r w:rsidRPr="00EC0030">
              <w:t xml:space="preserve">Report </w:t>
            </w:r>
            <w:r w:rsidR="00A53FAA" w:rsidRPr="00EC0030">
              <w:t xml:space="preserve">of the </w:t>
            </w:r>
            <w:r w:rsidRPr="00EC0030">
              <w:t xml:space="preserve">SRI Working Group </w:t>
            </w:r>
            <w:r w:rsidR="00A53FAA" w:rsidRPr="00EC0030">
              <w:t xml:space="preserve">to Pension Fund Committee </w:t>
            </w:r>
            <w:r w:rsidRPr="00EC0030">
              <w:t xml:space="preserve">– </w:t>
            </w:r>
            <w:r w:rsidR="00A53FAA" w:rsidRPr="00EC0030">
              <w:t>November</w:t>
            </w:r>
            <w:r w:rsidRPr="00EC0030">
              <w:t xml:space="preserve"> 2014</w:t>
            </w:r>
          </w:p>
          <w:p w:rsidR="00EE5FAD" w:rsidRPr="00EC0030" w:rsidRDefault="00EE5FAD" w:rsidP="00EE5FAD"/>
          <w:p w:rsidR="00EE5FAD" w:rsidRPr="00EC0030" w:rsidRDefault="00EE5FAD" w:rsidP="00EE5FAD">
            <w:r w:rsidRPr="00EC0030">
              <w:t>National Association of Pension Funds (NAPF) Responsible Investment Guide</w:t>
            </w:r>
          </w:p>
          <w:p w:rsidR="00EE5FAD" w:rsidRPr="00EC0030" w:rsidRDefault="00EE5FAD" w:rsidP="00EE5FAD"/>
        </w:tc>
        <w:tc>
          <w:tcPr>
            <w:tcW w:w="2775" w:type="dxa"/>
          </w:tcPr>
          <w:p w:rsidR="00EE5FAD" w:rsidRPr="00EC0030" w:rsidRDefault="00EE5FAD" w:rsidP="00EE5FAD">
            <w:pPr>
              <w:pStyle w:val="Heading7"/>
              <w:rPr>
                <w:rFonts w:ascii="Arial" w:hAnsi="Arial"/>
                <w:u w:val="none"/>
              </w:rPr>
            </w:pPr>
          </w:p>
          <w:p w:rsidR="00EE5FAD" w:rsidRPr="00EC0030" w:rsidRDefault="00A53FAA" w:rsidP="00EE5FAD">
            <w:r w:rsidRPr="00EC0030">
              <w:t>27 November</w:t>
            </w:r>
            <w:r w:rsidR="00EE5FAD" w:rsidRPr="00EC0030">
              <w:t xml:space="preserve"> 2014</w:t>
            </w:r>
          </w:p>
          <w:p w:rsidR="00EE5FAD" w:rsidRPr="00EC0030" w:rsidRDefault="00EE5FAD" w:rsidP="00EE5FAD"/>
          <w:p w:rsidR="00EE5FAD" w:rsidRPr="00EC0030" w:rsidRDefault="00EE5FAD" w:rsidP="00EE5FAD"/>
          <w:p w:rsidR="00EE5FAD" w:rsidRPr="00EC0030" w:rsidRDefault="00EE5FAD" w:rsidP="00EE5FAD"/>
          <w:p w:rsidR="00EE5FAD" w:rsidRPr="00EC0030" w:rsidRDefault="00EE5FAD" w:rsidP="00EE5FAD"/>
          <w:p w:rsidR="00EE5FAD" w:rsidRPr="00EC0030" w:rsidRDefault="00EE5FAD" w:rsidP="00EE5FAD">
            <w:r w:rsidRPr="00EC0030">
              <w:t>2013</w:t>
            </w:r>
          </w:p>
        </w:tc>
        <w:tc>
          <w:tcPr>
            <w:tcW w:w="3178" w:type="dxa"/>
          </w:tcPr>
          <w:p w:rsidR="00EE5FAD" w:rsidRPr="00EC0030" w:rsidRDefault="00EE5FAD" w:rsidP="00EE5FAD"/>
          <w:p w:rsidR="00EE5FAD" w:rsidRPr="00EC0030" w:rsidRDefault="00EE5FAD" w:rsidP="00EE5FAD">
            <w:r w:rsidRPr="00EC0030">
              <w:t>Andrew Fox/ County Treasurer's Directorate/ 01772 535916</w:t>
            </w:r>
          </w:p>
          <w:p w:rsidR="00EE5FAD" w:rsidRPr="00EC0030" w:rsidRDefault="00EE5FAD" w:rsidP="00EE5FAD"/>
          <w:p w:rsidR="00A53FAA" w:rsidRPr="00EC0030" w:rsidRDefault="00A53FAA" w:rsidP="00EE5FAD"/>
          <w:p w:rsidR="00EE5FAD" w:rsidRPr="00EC0030" w:rsidRDefault="00EE5FAD" w:rsidP="00EE5FAD">
            <w:r w:rsidRPr="00EC0030">
              <w:t>Andrew Fox/ County Treasurer's Directorate/ 01772 535916</w:t>
            </w:r>
          </w:p>
        </w:tc>
      </w:tr>
      <w:tr w:rsidR="00EE5FAD" w:rsidRPr="00EC0030" w:rsidTr="00EE5FAD">
        <w:trPr>
          <w:trHeight w:val="1224"/>
        </w:trPr>
        <w:tc>
          <w:tcPr>
            <w:tcW w:w="9180" w:type="dxa"/>
            <w:gridSpan w:val="3"/>
          </w:tcPr>
          <w:p w:rsidR="00EE5FAD" w:rsidRPr="00EC0030" w:rsidRDefault="00EE5FAD" w:rsidP="00EE5FAD">
            <w:r w:rsidRPr="00EC0030">
              <w:t>Reason for inclusion in Part II, if appropriate</w:t>
            </w:r>
          </w:p>
          <w:p w:rsidR="00EE5FAD" w:rsidRPr="00EC0030" w:rsidRDefault="00EE5FAD" w:rsidP="00A53FAA">
            <w:r w:rsidRPr="00EC0030">
              <w:t>N/A</w:t>
            </w:r>
          </w:p>
        </w:tc>
      </w:tr>
    </w:tbl>
    <w:p w:rsidR="003E6A45" w:rsidRPr="0042193C" w:rsidRDefault="003E6A45" w:rsidP="00192A12">
      <w:pPr>
        <w:rPr>
          <w:color w:val="00B050"/>
        </w:rPr>
      </w:pPr>
    </w:p>
    <w:sectPr w:rsidR="003E6A45" w:rsidRPr="0042193C" w:rsidSect="00192A12">
      <w:footerReference w:type="first" r:id="rId10"/>
      <w:pgSz w:w="11907" w:h="16840" w:code="9"/>
      <w:pgMar w:top="1276" w:right="426" w:bottom="1135" w:left="851" w:header="720" w:footer="15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6F" w:rsidRDefault="0054656F">
      <w:r>
        <w:separator/>
      </w:r>
    </w:p>
  </w:endnote>
  <w:endnote w:type="continuationSeparator" w:id="0">
    <w:p w:rsidR="0054656F" w:rsidRDefault="0054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4B78DEo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4656F">
      <w:tc>
        <w:tcPr>
          <w:tcW w:w="9243" w:type="dxa"/>
          <w:tcBorders>
            <w:top w:val="nil"/>
            <w:left w:val="nil"/>
            <w:bottom w:val="nil"/>
            <w:right w:val="nil"/>
          </w:tcBorders>
        </w:tcPr>
        <w:p w:rsidR="0054656F" w:rsidRDefault="0054656F">
          <w:pPr>
            <w:pStyle w:val="Footer"/>
            <w:tabs>
              <w:tab w:val="clear" w:pos="4153"/>
            </w:tabs>
            <w:ind w:right="-45"/>
            <w:jc w:val="right"/>
          </w:pPr>
        </w:p>
      </w:tc>
    </w:tr>
  </w:tbl>
  <w:p w:rsidR="0054656F" w:rsidRDefault="0054656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4656F">
      <w:tc>
        <w:tcPr>
          <w:tcW w:w="9243" w:type="dxa"/>
          <w:tcBorders>
            <w:top w:val="nil"/>
            <w:left w:val="nil"/>
            <w:bottom w:val="nil"/>
            <w:right w:val="nil"/>
          </w:tcBorders>
        </w:tcPr>
        <w:p w:rsidR="0054656F" w:rsidRDefault="00200CF9">
          <w:pPr>
            <w:pStyle w:val="Footer"/>
            <w:tabs>
              <w:tab w:val="clear" w:pos="4153"/>
            </w:tabs>
            <w:ind w:right="-45"/>
            <w:jc w:val="right"/>
          </w:pPr>
          <w:r>
            <w:rPr>
              <w:noProof/>
            </w:rPr>
            <w:drawing>
              <wp:inline distT="0" distB="0" distL="0" distR="0" wp14:anchorId="114168AC" wp14:editId="4C3E01E1">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54656F" w:rsidRDefault="0054656F">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4656F">
      <w:tc>
        <w:tcPr>
          <w:tcW w:w="9243" w:type="dxa"/>
          <w:tcBorders>
            <w:top w:val="nil"/>
            <w:left w:val="nil"/>
            <w:bottom w:val="nil"/>
            <w:right w:val="nil"/>
          </w:tcBorders>
        </w:tcPr>
        <w:p w:rsidR="0054656F" w:rsidRDefault="0054656F">
          <w:pPr>
            <w:pStyle w:val="Footer"/>
            <w:tabs>
              <w:tab w:val="clear" w:pos="4153"/>
            </w:tabs>
            <w:ind w:right="-45"/>
            <w:jc w:val="right"/>
          </w:pPr>
        </w:p>
      </w:tc>
    </w:tr>
  </w:tbl>
  <w:p w:rsidR="0054656F" w:rsidRDefault="0054656F" w:rsidP="00F74E6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6F" w:rsidRDefault="0054656F">
      <w:r>
        <w:separator/>
      </w:r>
    </w:p>
  </w:footnote>
  <w:footnote w:type="continuationSeparator" w:id="0">
    <w:p w:rsidR="0054656F" w:rsidRDefault="00546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D8A"/>
    <w:multiLevelType w:val="hybridMultilevel"/>
    <w:tmpl w:val="8384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F4ED6"/>
    <w:multiLevelType w:val="hybridMultilevel"/>
    <w:tmpl w:val="446EA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1C2E4392"/>
    <w:multiLevelType w:val="hybridMultilevel"/>
    <w:tmpl w:val="E280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63A34"/>
    <w:multiLevelType w:val="multilevel"/>
    <w:tmpl w:val="23A84C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FF70686"/>
    <w:multiLevelType w:val="hybridMultilevel"/>
    <w:tmpl w:val="EA64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500D8"/>
    <w:multiLevelType w:val="multilevel"/>
    <w:tmpl w:val="0436F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5F85B44"/>
    <w:multiLevelType w:val="hybridMultilevel"/>
    <w:tmpl w:val="09206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834375"/>
    <w:multiLevelType w:val="hybridMultilevel"/>
    <w:tmpl w:val="4170E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212E71"/>
    <w:multiLevelType w:val="hybridMultilevel"/>
    <w:tmpl w:val="3BB4EE00"/>
    <w:lvl w:ilvl="0" w:tplc="0666B6E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88536B"/>
    <w:multiLevelType w:val="hybridMultilevel"/>
    <w:tmpl w:val="D78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B28B5"/>
    <w:multiLevelType w:val="multilevel"/>
    <w:tmpl w:val="359AA53E"/>
    <w:lvl w:ilvl="0">
      <w:start w:val="1"/>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1">
    <w:nsid w:val="69B47A59"/>
    <w:multiLevelType w:val="multilevel"/>
    <w:tmpl w:val="DDE63AE6"/>
    <w:lvl w:ilvl="0">
      <w:start w:val="2"/>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2">
    <w:nsid w:val="75440564"/>
    <w:multiLevelType w:val="hybridMultilevel"/>
    <w:tmpl w:val="FEC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3"/>
  </w:num>
  <w:num w:numId="5">
    <w:abstractNumId w:val="5"/>
  </w:num>
  <w:num w:numId="6">
    <w:abstractNumId w:val="1"/>
  </w:num>
  <w:num w:numId="7">
    <w:abstractNumId w:val="4"/>
  </w:num>
  <w:num w:numId="8">
    <w:abstractNumId w:val="9"/>
  </w:num>
  <w:num w:numId="9">
    <w:abstractNumId w:val="7"/>
  </w:num>
  <w:num w:numId="10">
    <w:abstractNumId w:val="8"/>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67D8"/>
    <w:rsid w:val="0002150F"/>
    <w:rsid w:val="00025AF2"/>
    <w:rsid w:val="000325C1"/>
    <w:rsid w:val="0005261C"/>
    <w:rsid w:val="00070306"/>
    <w:rsid w:val="00076947"/>
    <w:rsid w:val="00086A19"/>
    <w:rsid w:val="00087174"/>
    <w:rsid w:val="000B45E2"/>
    <w:rsid w:val="000D2A08"/>
    <w:rsid w:val="000D615C"/>
    <w:rsid w:val="000E117D"/>
    <w:rsid w:val="000E4240"/>
    <w:rsid w:val="000E4EC8"/>
    <w:rsid w:val="000E7D17"/>
    <w:rsid w:val="000F2400"/>
    <w:rsid w:val="000F53C5"/>
    <w:rsid w:val="000F5FF5"/>
    <w:rsid w:val="000F619B"/>
    <w:rsid w:val="000F6530"/>
    <w:rsid w:val="001050FB"/>
    <w:rsid w:val="00110760"/>
    <w:rsid w:val="00117888"/>
    <w:rsid w:val="00125E02"/>
    <w:rsid w:val="001277AE"/>
    <w:rsid w:val="00144BAE"/>
    <w:rsid w:val="00150904"/>
    <w:rsid w:val="00156B02"/>
    <w:rsid w:val="0016562E"/>
    <w:rsid w:val="00166182"/>
    <w:rsid w:val="00171DB5"/>
    <w:rsid w:val="00192A12"/>
    <w:rsid w:val="001A0BBE"/>
    <w:rsid w:val="001A4D59"/>
    <w:rsid w:val="001A544E"/>
    <w:rsid w:val="001D2600"/>
    <w:rsid w:val="001E1715"/>
    <w:rsid w:val="001E1892"/>
    <w:rsid w:val="001E3647"/>
    <w:rsid w:val="001F470D"/>
    <w:rsid w:val="00200CF9"/>
    <w:rsid w:val="00205A3E"/>
    <w:rsid w:val="00215E35"/>
    <w:rsid w:val="00224A72"/>
    <w:rsid w:val="0022545B"/>
    <w:rsid w:val="002259B3"/>
    <w:rsid w:val="00233142"/>
    <w:rsid w:val="002358AA"/>
    <w:rsid w:val="00236CF1"/>
    <w:rsid w:val="0024165C"/>
    <w:rsid w:val="0026047A"/>
    <w:rsid w:val="00280BD0"/>
    <w:rsid w:val="0028461B"/>
    <w:rsid w:val="00291258"/>
    <w:rsid w:val="002B11AF"/>
    <w:rsid w:val="002B3A03"/>
    <w:rsid w:val="002F4B8E"/>
    <w:rsid w:val="003024F9"/>
    <w:rsid w:val="00330D43"/>
    <w:rsid w:val="00354CAC"/>
    <w:rsid w:val="00357954"/>
    <w:rsid w:val="00363F59"/>
    <w:rsid w:val="00372A2F"/>
    <w:rsid w:val="003829C4"/>
    <w:rsid w:val="003834D5"/>
    <w:rsid w:val="00384FC5"/>
    <w:rsid w:val="00393401"/>
    <w:rsid w:val="003A105E"/>
    <w:rsid w:val="003A2D0A"/>
    <w:rsid w:val="003A4BB5"/>
    <w:rsid w:val="003A50E0"/>
    <w:rsid w:val="003B07E2"/>
    <w:rsid w:val="003C30A9"/>
    <w:rsid w:val="003C5ACF"/>
    <w:rsid w:val="003E6A45"/>
    <w:rsid w:val="003F41CB"/>
    <w:rsid w:val="003F4B76"/>
    <w:rsid w:val="003F7245"/>
    <w:rsid w:val="00417438"/>
    <w:rsid w:val="0042193C"/>
    <w:rsid w:val="00424EF5"/>
    <w:rsid w:val="00431DA1"/>
    <w:rsid w:val="004320B4"/>
    <w:rsid w:val="00436029"/>
    <w:rsid w:val="00446201"/>
    <w:rsid w:val="0044710C"/>
    <w:rsid w:val="004505D5"/>
    <w:rsid w:val="0046657E"/>
    <w:rsid w:val="004751FA"/>
    <w:rsid w:val="00483F78"/>
    <w:rsid w:val="00484F9D"/>
    <w:rsid w:val="00486D4A"/>
    <w:rsid w:val="004C4D11"/>
    <w:rsid w:val="004D42A0"/>
    <w:rsid w:val="004E4E5F"/>
    <w:rsid w:val="004F481F"/>
    <w:rsid w:val="00502A79"/>
    <w:rsid w:val="005353E9"/>
    <w:rsid w:val="0054656F"/>
    <w:rsid w:val="00547D03"/>
    <w:rsid w:val="00555B02"/>
    <w:rsid w:val="00581BB4"/>
    <w:rsid w:val="00584F76"/>
    <w:rsid w:val="00595438"/>
    <w:rsid w:val="0059650D"/>
    <w:rsid w:val="005A27AA"/>
    <w:rsid w:val="005B3FBA"/>
    <w:rsid w:val="005C6B87"/>
    <w:rsid w:val="005D3057"/>
    <w:rsid w:val="005E2526"/>
    <w:rsid w:val="005E76D1"/>
    <w:rsid w:val="005F0B97"/>
    <w:rsid w:val="005F3B49"/>
    <w:rsid w:val="0061698C"/>
    <w:rsid w:val="00621B00"/>
    <w:rsid w:val="006255A6"/>
    <w:rsid w:val="006256C5"/>
    <w:rsid w:val="0063102C"/>
    <w:rsid w:val="00637D35"/>
    <w:rsid w:val="00655108"/>
    <w:rsid w:val="006752C7"/>
    <w:rsid w:val="006761AC"/>
    <w:rsid w:val="00683E0A"/>
    <w:rsid w:val="006A5289"/>
    <w:rsid w:val="006A6D34"/>
    <w:rsid w:val="006E7DCC"/>
    <w:rsid w:val="006F00EF"/>
    <w:rsid w:val="007105F4"/>
    <w:rsid w:val="0071110E"/>
    <w:rsid w:val="00711F11"/>
    <w:rsid w:val="00713E46"/>
    <w:rsid w:val="00723B9A"/>
    <w:rsid w:val="00723F0C"/>
    <w:rsid w:val="00731AC1"/>
    <w:rsid w:val="0073332E"/>
    <w:rsid w:val="00733DA5"/>
    <w:rsid w:val="007357EE"/>
    <w:rsid w:val="007412D7"/>
    <w:rsid w:val="00757B06"/>
    <w:rsid w:val="00762E3C"/>
    <w:rsid w:val="007676C9"/>
    <w:rsid w:val="00767C8E"/>
    <w:rsid w:val="0077194A"/>
    <w:rsid w:val="00772BBA"/>
    <w:rsid w:val="00792A18"/>
    <w:rsid w:val="007A2F86"/>
    <w:rsid w:val="007A3A18"/>
    <w:rsid w:val="007B01EE"/>
    <w:rsid w:val="007D0AFE"/>
    <w:rsid w:val="007D6C34"/>
    <w:rsid w:val="007E36BD"/>
    <w:rsid w:val="007E5C1E"/>
    <w:rsid w:val="007E7A9F"/>
    <w:rsid w:val="007F189F"/>
    <w:rsid w:val="007F3D46"/>
    <w:rsid w:val="007F7BED"/>
    <w:rsid w:val="00805CC0"/>
    <w:rsid w:val="00812BE1"/>
    <w:rsid w:val="008217EC"/>
    <w:rsid w:val="00825E9E"/>
    <w:rsid w:val="00837DFA"/>
    <w:rsid w:val="00840DD3"/>
    <w:rsid w:val="0085143C"/>
    <w:rsid w:val="008549CD"/>
    <w:rsid w:val="00854CB6"/>
    <w:rsid w:val="0085584F"/>
    <w:rsid w:val="0085737C"/>
    <w:rsid w:val="008614CE"/>
    <w:rsid w:val="008733F4"/>
    <w:rsid w:val="00875EFA"/>
    <w:rsid w:val="00894DCC"/>
    <w:rsid w:val="00896882"/>
    <w:rsid w:val="008969CA"/>
    <w:rsid w:val="008A3AF2"/>
    <w:rsid w:val="008A5E88"/>
    <w:rsid w:val="008A69B3"/>
    <w:rsid w:val="008B570C"/>
    <w:rsid w:val="008C493B"/>
    <w:rsid w:val="008F5552"/>
    <w:rsid w:val="009011D6"/>
    <w:rsid w:val="00905EDA"/>
    <w:rsid w:val="00920D1E"/>
    <w:rsid w:val="00962494"/>
    <w:rsid w:val="00964B93"/>
    <w:rsid w:val="00981985"/>
    <w:rsid w:val="009835EB"/>
    <w:rsid w:val="00984983"/>
    <w:rsid w:val="009937A3"/>
    <w:rsid w:val="009964B0"/>
    <w:rsid w:val="009A70C4"/>
    <w:rsid w:val="009B2BAC"/>
    <w:rsid w:val="009B3418"/>
    <w:rsid w:val="009B61F1"/>
    <w:rsid w:val="009C16F8"/>
    <w:rsid w:val="009E0196"/>
    <w:rsid w:val="009E40F4"/>
    <w:rsid w:val="009E5798"/>
    <w:rsid w:val="009F0400"/>
    <w:rsid w:val="009F4AE7"/>
    <w:rsid w:val="009F4EC5"/>
    <w:rsid w:val="00A056B1"/>
    <w:rsid w:val="00A32935"/>
    <w:rsid w:val="00A46FA0"/>
    <w:rsid w:val="00A47617"/>
    <w:rsid w:val="00A53FAA"/>
    <w:rsid w:val="00A55FDC"/>
    <w:rsid w:val="00A57367"/>
    <w:rsid w:val="00A60BF1"/>
    <w:rsid w:val="00A7656A"/>
    <w:rsid w:val="00A8725C"/>
    <w:rsid w:val="00A87B5E"/>
    <w:rsid w:val="00A936CD"/>
    <w:rsid w:val="00AA0678"/>
    <w:rsid w:val="00AA2EB7"/>
    <w:rsid w:val="00AA657C"/>
    <w:rsid w:val="00AB4E69"/>
    <w:rsid w:val="00AB6E66"/>
    <w:rsid w:val="00AB7D92"/>
    <w:rsid w:val="00AC7C95"/>
    <w:rsid w:val="00AE4258"/>
    <w:rsid w:val="00B00D16"/>
    <w:rsid w:val="00B058C3"/>
    <w:rsid w:val="00B21B7F"/>
    <w:rsid w:val="00B27084"/>
    <w:rsid w:val="00B27182"/>
    <w:rsid w:val="00B33EB4"/>
    <w:rsid w:val="00B40C71"/>
    <w:rsid w:val="00B43819"/>
    <w:rsid w:val="00B45311"/>
    <w:rsid w:val="00B67789"/>
    <w:rsid w:val="00B743BE"/>
    <w:rsid w:val="00B825CA"/>
    <w:rsid w:val="00B8357F"/>
    <w:rsid w:val="00B90184"/>
    <w:rsid w:val="00BB0369"/>
    <w:rsid w:val="00BB08CC"/>
    <w:rsid w:val="00BB77FA"/>
    <w:rsid w:val="00BC2117"/>
    <w:rsid w:val="00BC4FC4"/>
    <w:rsid w:val="00BD12A2"/>
    <w:rsid w:val="00BD6AE0"/>
    <w:rsid w:val="00BF3A91"/>
    <w:rsid w:val="00C20DC0"/>
    <w:rsid w:val="00C22C3A"/>
    <w:rsid w:val="00C550C9"/>
    <w:rsid w:val="00C6463B"/>
    <w:rsid w:val="00C85BD8"/>
    <w:rsid w:val="00C9631E"/>
    <w:rsid w:val="00CA1DD7"/>
    <w:rsid w:val="00CC01EF"/>
    <w:rsid w:val="00CC1A06"/>
    <w:rsid w:val="00CD0190"/>
    <w:rsid w:val="00CD5239"/>
    <w:rsid w:val="00CD6694"/>
    <w:rsid w:val="00CE11AA"/>
    <w:rsid w:val="00CE77AF"/>
    <w:rsid w:val="00CF7C3C"/>
    <w:rsid w:val="00D039ED"/>
    <w:rsid w:val="00D3048D"/>
    <w:rsid w:val="00D30D71"/>
    <w:rsid w:val="00D36E91"/>
    <w:rsid w:val="00D401F7"/>
    <w:rsid w:val="00D501E6"/>
    <w:rsid w:val="00D505BF"/>
    <w:rsid w:val="00D6324A"/>
    <w:rsid w:val="00D96884"/>
    <w:rsid w:val="00D97286"/>
    <w:rsid w:val="00DA1690"/>
    <w:rsid w:val="00DA70AA"/>
    <w:rsid w:val="00DB1028"/>
    <w:rsid w:val="00DE68BC"/>
    <w:rsid w:val="00DF2696"/>
    <w:rsid w:val="00E14C95"/>
    <w:rsid w:val="00E25A8E"/>
    <w:rsid w:val="00E33D26"/>
    <w:rsid w:val="00E349B2"/>
    <w:rsid w:val="00E36898"/>
    <w:rsid w:val="00E45591"/>
    <w:rsid w:val="00E53A37"/>
    <w:rsid w:val="00E54797"/>
    <w:rsid w:val="00E640E1"/>
    <w:rsid w:val="00E657C9"/>
    <w:rsid w:val="00E66C74"/>
    <w:rsid w:val="00E765AF"/>
    <w:rsid w:val="00EA3F9A"/>
    <w:rsid w:val="00EA45E5"/>
    <w:rsid w:val="00EA73A5"/>
    <w:rsid w:val="00EB60B3"/>
    <w:rsid w:val="00EC0030"/>
    <w:rsid w:val="00ED0DF1"/>
    <w:rsid w:val="00ED19A0"/>
    <w:rsid w:val="00ED2BF4"/>
    <w:rsid w:val="00EE5FAD"/>
    <w:rsid w:val="00EF7AFF"/>
    <w:rsid w:val="00F1456D"/>
    <w:rsid w:val="00F22928"/>
    <w:rsid w:val="00F265CC"/>
    <w:rsid w:val="00F50700"/>
    <w:rsid w:val="00F50A63"/>
    <w:rsid w:val="00F514A8"/>
    <w:rsid w:val="00F60B4A"/>
    <w:rsid w:val="00F62758"/>
    <w:rsid w:val="00F64E0F"/>
    <w:rsid w:val="00F74E67"/>
    <w:rsid w:val="00F75669"/>
    <w:rsid w:val="00FA1012"/>
    <w:rsid w:val="00FA1D91"/>
    <w:rsid w:val="00FA6658"/>
    <w:rsid w:val="00FC31A1"/>
    <w:rsid w:val="00FE0105"/>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C3069-4B46-48EE-A56A-0F9CC3E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5F0B97"/>
    <w:pPr>
      <w:ind w:left="720"/>
    </w:pPr>
  </w:style>
  <w:style w:type="paragraph" w:customStyle="1" w:styleId="Default">
    <w:name w:val="Default"/>
    <w:rsid w:val="00F6275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97286"/>
    <w:rPr>
      <w:sz w:val="16"/>
      <w:szCs w:val="16"/>
    </w:rPr>
  </w:style>
  <w:style w:type="paragraph" w:styleId="CommentText">
    <w:name w:val="annotation text"/>
    <w:basedOn w:val="Normal"/>
    <w:link w:val="CommentTextChar"/>
    <w:uiPriority w:val="99"/>
    <w:semiHidden/>
    <w:unhideWhenUsed/>
    <w:rsid w:val="00D97286"/>
    <w:rPr>
      <w:sz w:val="20"/>
    </w:rPr>
  </w:style>
  <w:style w:type="character" w:customStyle="1" w:styleId="CommentTextChar">
    <w:name w:val="Comment Text Char"/>
    <w:basedOn w:val="DefaultParagraphFont"/>
    <w:link w:val="CommentText"/>
    <w:uiPriority w:val="99"/>
    <w:semiHidden/>
    <w:rsid w:val="00D97286"/>
    <w:rPr>
      <w:rFonts w:ascii="Arial" w:hAnsi="Arial"/>
    </w:rPr>
  </w:style>
  <w:style w:type="paragraph" w:styleId="CommentSubject">
    <w:name w:val="annotation subject"/>
    <w:basedOn w:val="CommentText"/>
    <w:next w:val="CommentText"/>
    <w:link w:val="CommentSubjectChar"/>
    <w:uiPriority w:val="99"/>
    <w:semiHidden/>
    <w:unhideWhenUsed/>
    <w:rsid w:val="00D97286"/>
    <w:rPr>
      <w:b/>
      <w:bCs/>
    </w:rPr>
  </w:style>
  <w:style w:type="character" w:customStyle="1" w:styleId="CommentSubjectChar">
    <w:name w:val="Comment Subject Char"/>
    <w:basedOn w:val="CommentTextChar"/>
    <w:link w:val="CommentSubject"/>
    <w:uiPriority w:val="99"/>
    <w:semiHidden/>
    <w:rsid w:val="00D97286"/>
    <w:rPr>
      <w:rFonts w:ascii="Arial" w:hAnsi="Arial"/>
      <w:b/>
      <w:bCs/>
    </w:rPr>
  </w:style>
  <w:style w:type="paragraph" w:styleId="Revision">
    <w:name w:val="Revision"/>
    <w:hidden/>
    <w:uiPriority w:val="99"/>
    <w:semiHidden/>
    <w:rsid w:val="007B01EE"/>
    <w:rPr>
      <w:rFonts w:ascii="Arial" w:hAnsi="Arial"/>
      <w:sz w:val="24"/>
    </w:rPr>
  </w:style>
  <w:style w:type="table" w:styleId="TableGrid">
    <w:name w:val="Table Grid"/>
    <w:basedOn w:val="TableNormal"/>
    <w:rsid w:val="0054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13">
      <w:bodyDiv w:val="1"/>
      <w:marLeft w:val="0"/>
      <w:marRight w:val="0"/>
      <w:marTop w:val="0"/>
      <w:marBottom w:val="0"/>
      <w:divBdr>
        <w:top w:val="none" w:sz="0" w:space="0" w:color="auto"/>
        <w:left w:val="none" w:sz="0" w:space="0" w:color="auto"/>
        <w:bottom w:val="none" w:sz="0" w:space="0" w:color="auto"/>
        <w:right w:val="none" w:sz="0" w:space="0" w:color="auto"/>
      </w:divBdr>
    </w:div>
    <w:div w:id="91048902">
      <w:bodyDiv w:val="1"/>
      <w:marLeft w:val="0"/>
      <w:marRight w:val="0"/>
      <w:marTop w:val="0"/>
      <w:marBottom w:val="0"/>
      <w:divBdr>
        <w:top w:val="none" w:sz="0" w:space="0" w:color="auto"/>
        <w:left w:val="none" w:sz="0" w:space="0" w:color="auto"/>
        <w:bottom w:val="none" w:sz="0" w:space="0" w:color="auto"/>
        <w:right w:val="none" w:sz="0" w:space="0" w:color="auto"/>
      </w:divBdr>
    </w:div>
    <w:div w:id="110364246">
      <w:bodyDiv w:val="1"/>
      <w:marLeft w:val="0"/>
      <w:marRight w:val="0"/>
      <w:marTop w:val="0"/>
      <w:marBottom w:val="0"/>
      <w:divBdr>
        <w:top w:val="none" w:sz="0" w:space="0" w:color="auto"/>
        <w:left w:val="none" w:sz="0" w:space="0" w:color="auto"/>
        <w:bottom w:val="none" w:sz="0" w:space="0" w:color="auto"/>
        <w:right w:val="none" w:sz="0" w:space="0" w:color="auto"/>
      </w:divBdr>
    </w:div>
    <w:div w:id="346752503">
      <w:bodyDiv w:val="1"/>
      <w:marLeft w:val="0"/>
      <w:marRight w:val="0"/>
      <w:marTop w:val="0"/>
      <w:marBottom w:val="0"/>
      <w:divBdr>
        <w:top w:val="none" w:sz="0" w:space="0" w:color="auto"/>
        <w:left w:val="none" w:sz="0" w:space="0" w:color="auto"/>
        <w:bottom w:val="none" w:sz="0" w:space="0" w:color="auto"/>
        <w:right w:val="none" w:sz="0" w:space="0" w:color="auto"/>
      </w:divBdr>
    </w:div>
    <w:div w:id="403991094">
      <w:bodyDiv w:val="1"/>
      <w:marLeft w:val="0"/>
      <w:marRight w:val="0"/>
      <w:marTop w:val="0"/>
      <w:marBottom w:val="0"/>
      <w:divBdr>
        <w:top w:val="none" w:sz="0" w:space="0" w:color="auto"/>
        <w:left w:val="none" w:sz="0" w:space="0" w:color="auto"/>
        <w:bottom w:val="none" w:sz="0" w:space="0" w:color="auto"/>
        <w:right w:val="none" w:sz="0" w:space="0" w:color="auto"/>
      </w:divBdr>
    </w:div>
    <w:div w:id="459350068">
      <w:bodyDiv w:val="1"/>
      <w:marLeft w:val="0"/>
      <w:marRight w:val="0"/>
      <w:marTop w:val="0"/>
      <w:marBottom w:val="0"/>
      <w:divBdr>
        <w:top w:val="none" w:sz="0" w:space="0" w:color="auto"/>
        <w:left w:val="none" w:sz="0" w:space="0" w:color="auto"/>
        <w:bottom w:val="none" w:sz="0" w:space="0" w:color="auto"/>
        <w:right w:val="none" w:sz="0" w:space="0" w:color="auto"/>
      </w:divBdr>
    </w:div>
    <w:div w:id="665667014">
      <w:bodyDiv w:val="1"/>
      <w:marLeft w:val="0"/>
      <w:marRight w:val="0"/>
      <w:marTop w:val="0"/>
      <w:marBottom w:val="0"/>
      <w:divBdr>
        <w:top w:val="none" w:sz="0" w:space="0" w:color="auto"/>
        <w:left w:val="none" w:sz="0" w:space="0" w:color="auto"/>
        <w:bottom w:val="none" w:sz="0" w:space="0" w:color="auto"/>
        <w:right w:val="none" w:sz="0" w:space="0" w:color="auto"/>
      </w:divBdr>
    </w:div>
    <w:div w:id="964041522">
      <w:bodyDiv w:val="1"/>
      <w:marLeft w:val="0"/>
      <w:marRight w:val="0"/>
      <w:marTop w:val="0"/>
      <w:marBottom w:val="0"/>
      <w:divBdr>
        <w:top w:val="none" w:sz="0" w:space="0" w:color="auto"/>
        <w:left w:val="none" w:sz="0" w:space="0" w:color="auto"/>
        <w:bottom w:val="none" w:sz="0" w:space="0" w:color="auto"/>
        <w:right w:val="none" w:sz="0" w:space="0" w:color="auto"/>
      </w:divBdr>
    </w:div>
    <w:div w:id="1290747619">
      <w:bodyDiv w:val="1"/>
      <w:marLeft w:val="0"/>
      <w:marRight w:val="0"/>
      <w:marTop w:val="0"/>
      <w:marBottom w:val="0"/>
      <w:divBdr>
        <w:top w:val="none" w:sz="0" w:space="0" w:color="auto"/>
        <w:left w:val="none" w:sz="0" w:space="0" w:color="auto"/>
        <w:bottom w:val="none" w:sz="0" w:space="0" w:color="auto"/>
        <w:right w:val="none" w:sz="0" w:space="0" w:color="auto"/>
      </w:divBdr>
    </w:div>
    <w:div w:id="1685017747">
      <w:bodyDiv w:val="1"/>
      <w:marLeft w:val="0"/>
      <w:marRight w:val="0"/>
      <w:marTop w:val="0"/>
      <w:marBottom w:val="0"/>
      <w:divBdr>
        <w:top w:val="none" w:sz="0" w:space="0" w:color="auto"/>
        <w:left w:val="none" w:sz="0" w:space="0" w:color="auto"/>
        <w:bottom w:val="none" w:sz="0" w:space="0" w:color="auto"/>
        <w:right w:val="none" w:sz="0" w:space="0" w:color="auto"/>
      </w:divBdr>
    </w:div>
    <w:div w:id="1722750336">
      <w:bodyDiv w:val="1"/>
      <w:marLeft w:val="0"/>
      <w:marRight w:val="0"/>
      <w:marTop w:val="0"/>
      <w:marBottom w:val="0"/>
      <w:divBdr>
        <w:top w:val="none" w:sz="0" w:space="0" w:color="auto"/>
        <w:left w:val="none" w:sz="0" w:space="0" w:color="auto"/>
        <w:bottom w:val="none" w:sz="0" w:space="0" w:color="auto"/>
        <w:right w:val="none" w:sz="0" w:space="0" w:color="auto"/>
      </w:divBdr>
    </w:div>
    <w:div w:id="1776052159">
      <w:bodyDiv w:val="1"/>
      <w:marLeft w:val="0"/>
      <w:marRight w:val="0"/>
      <w:marTop w:val="0"/>
      <w:marBottom w:val="0"/>
      <w:divBdr>
        <w:top w:val="none" w:sz="0" w:space="0" w:color="auto"/>
        <w:left w:val="none" w:sz="0" w:space="0" w:color="auto"/>
        <w:bottom w:val="none" w:sz="0" w:space="0" w:color="auto"/>
        <w:right w:val="none" w:sz="0" w:space="0" w:color="auto"/>
      </w:divBdr>
    </w:div>
    <w:div w:id="1826432800">
      <w:bodyDiv w:val="1"/>
      <w:marLeft w:val="0"/>
      <w:marRight w:val="0"/>
      <w:marTop w:val="0"/>
      <w:marBottom w:val="0"/>
      <w:divBdr>
        <w:top w:val="none" w:sz="0" w:space="0" w:color="auto"/>
        <w:left w:val="none" w:sz="0" w:space="0" w:color="auto"/>
        <w:bottom w:val="none" w:sz="0" w:space="0" w:color="auto"/>
        <w:right w:val="none" w:sz="0" w:space="0" w:color="auto"/>
      </w:divBdr>
    </w:div>
    <w:div w:id="2008434698">
      <w:bodyDiv w:val="1"/>
      <w:marLeft w:val="0"/>
      <w:marRight w:val="0"/>
      <w:marTop w:val="0"/>
      <w:marBottom w:val="0"/>
      <w:divBdr>
        <w:top w:val="none" w:sz="0" w:space="0" w:color="auto"/>
        <w:left w:val="none" w:sz="0" w:space="0" w:color="auto"/>
        <w:bottom w:val="none" w:sz="0" w:space="0" w:color="auto"/>
        <w:right w:val="none" w:sz="0" w:space="0" w:color="auto"/>
      </w:divBdr>
    </w:div>
    <w:div w:id="20122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fox@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0</TotalTime>
  <Pages>14</Pages>
  <Words>4119</Words>
  <Characters>22478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Mather, Chris</cp:lastModifiedBy>
  <cp:revision>3</cp:revision>
  <cp:lastPrinted>2002-09-23T11:55:00Z</cp:lastPrinted>
  <dcterms:created xsi:type="dcterms:W3CDTF">2015-05-21T08:10:00Z</dcterms:created>
  <dcterms:modified xsi:type="dcterms:W3CDTF">2015-05-21T08:18:00Z</dcterms:modified>
</cp:coreProperties>
</file>